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38C19" w14:textId="53D68900" w:rsidR="00006869" w:rsidRPr="0064648B" w:rsidRDefault="00006869" w:rsidP="00006869">
      <w:pPr>
        <w:tabs>
          <w:tab w:val="left" w:pos="1985"/>
        </w:tabs>
        <w:spacing w:after="120"/>
        <w:rPr>
          <w:rFonts w:ascii="Arial" w:hAnsi="Arial" w:cs="Arial"/>
          <w:b/>
          <w:noProof/>
          <w:szCs w:val="20"/>
          <w:lang w:val="en-GB" w:eastAsia="en-US"/>
        </w:rPr>
      </w:pPr>
      <w:bookmarkStart w:id="0" w:name="historyclause"/>
      <w:r w:rsidRPr="0064648B">
        <w:rPr>
          <w:rFonts w:ascii="Arial" w:hAnsi="Arial" w:cs="Arial"/>
          <w:b/>
          <w:noProof/>
          <w:szCs w:val="20"/>
          <w:lang w:val="en-GB" w:eastAsia="en-US"/>
        </w:rPr>
        <w:t>3GPP TSG-RAN WG4 Meeting #10</w:t>
      </w:r>
      <w:r w:rsidR="002D7E93">
        <w:rPr>
          <w:rFonts w:ascii="Arial" w:hAnsi="Arial" w:cs="Arial"/>
          <w:b/>
          <w:noProof/>
          <w:szCs w:val="20"/>
          <w:lang w:val="en-GB" w:eastAsia="en-US"/>
        </w:rPr>
        <w:t>7</w:t>
      </w:r>
      <w:r w:rsidRPr="0064648B">
        <w:rPr>
          <w:rFonts w:ascii="Arial" w:hAnsi="Arial" w:cs="Arial"/>
          <w:b/>
          <w:noProof/>
          <w:szCs w:val="20"/>
          <w:lang w:val="en-GB" w:eastAsia="en-US"/>
        </w:rPr>
        <w:tab/>
      </w:r>
      <w:r w:rsidRPr="0064648B">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sidR="00C66439" w:rsidRPr="00C66439">
        <w:rPr>
          <w:rFonts w:ascii="Arial" w:hAnsi="Arial" w:cs="Arial"/>
          <w:b/>
          <w:noProof/>
          <w:szCs w:val="20"/>
          <w:lang w:val="en-GB" w:eastAsia="en-US"/>
        </w:rPr>
        <w:t>R4-230</w:t>
      </w:r>
      <w:r w:rsidR="002D7E93">
        <w:rPr>
          <w:rFonts w:ascii="Arial" w:hAnsi="Arial" w:cs="Arial"/>
          <w:b/>
          <w:noProof/>
          <w:szCs w:val="20"/>
          <w:lang w:val="en-GB" w:eastAsia="en-US"/>
        </w:rPr>
        <w:t>7349</w:t>
      </w:r>
    </w:p>
    <w:p w14:paraId="0A1936B1" w14:textId="77777777" w:rsidR="002D7E93" w:rsidRDefault="002D7E93" w:rsidP="003844E2">
      <w:pPr>
        <w:tabs>
          <w:tab w:val="left" w:pos="1985"/>
        </w:tabs>
        <w:spacing w:after="120"/>
        <w:rPr>
          <w:rFonts w:ascii="Arial" w:hAnsi="Arial" w:cs="Arial"/>
          <w:b/>
          <w:noProof/>
          <w:szCs w:val="20"/>
          <w:lang w:val="en-GB" w:eastAsia="en-US"/>
        </w:rPr>
      </w:pPr>
      <w:r w:rsidRPr="002D7E93">
        <w:rPr>
          <w:rFonts w:ascii="Arial" w:hAnsi="Arial" w:cs="Arial"/>
          <w:b/>
          <w:noProof/>
          <w:szCs w:val="20"/>
          <w:lang w:val="en-GB" w:eastAsia="en-US"/>
        </w:rPr>
        <w:t>Incheon, KR, May 22 – May 26, 2023</w:t>
      </w:r>
    </w:p>
    <w:p w14:paraId="57CA4489" w14:textId="1DAC946F"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2D7E93">
        <w:rPr>
          <w:rFonts w:ascii="Arial" w:hAnsi="Arial" w:cs="Arial"/>
          <w:b/>
          <w:sz w:val="22"/>
          <w:szCs w:val="22"/>
        </w:rPr>
        <w:t>8</w:t>
      </w:r>
      <w:r>
        <w:rPr>
          <w:rFonts w:ascii="Arial" w:hAnsi="Arial" w:cs="Arial"/>
          <w:b/>
          <w:sz w:val="22"/>
          <w:szCs w:val="22"/>
        </w:rPr>
        <w:t>.8.</w:t>
      </w:r>
      <w:r w:rsidR="00EA59EF">
        <w:rPr>
          <w:rFonts w:ascii="Arial" w:hAnsi="Arial" w:cs="Arial"/>
          <w:b/>
          <w:sz w:val="22"/>
          <w:szCs w:val="22"/>
        </w:rPr>
        <w:t>3</w:t>
      </w:r>
      <w:r w:rsidR="00294DDA">
        <w:rPr>
          <w:rFonts w:ascii="Arial" w:hAnsi="Arial" w:cs="Arial"/>
          <w:b/>
          <w:sz w:val="22"/>
          <w:szCs w:val="22"/>
        </w:rPr>
        <w:t>.</w:t>
      </w:r>
      <w:r w:rsidR="003242B5">
        <w:rPr>
          <w:rFonts w:ascii="Arial" w:hAnsi="Arial" w:cs="Arial"/>
          <w:b/>
          <w:sz w:val="22"/>
          <w:szCs w:val="22"/>
        </w:rPr>
        <w:t>5</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62AAB40B"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C66439">
        <w:rPr>
          <w:rFonts w:ascii="Arial" w:hAnsi="Arial" w:cs="Arial"/>
          <w:b/>
          <w:sz w:val="22"/>
          <w:szCs w:val="22"/>
        </w:rPr>
        <w:t xml:space="preserve">On </w:t>
      </w:r>
      <w:r w:rsidR="00167A77" w:rsidRPr="00167A77">
        <w:rPr>
          <w:rFonts w:ascii="Arial" w:hAnsi="Arial" w:cs="Arial"/>
          <w:b/>
          <w:sz w:val="22"/>
          <w:szCs w:val="22"/>
        </w:rPr>
        <w:t>TCI state switching for NR FR2 multi-Rx chain DL reception</w:t>
      </w:r>
    </w:p>
    <w:p w14:paraId="0207DB43" w14:textId="332291DC" w:rsidR="00D46431" w:rsidRPr="004A066A" w:rsidRDefault="003844E2" w:rsidP="004A066A">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2EC3CA4C" w:rsidR="0065563F" w:rsidRDefault="00294DDA" w:rsidP="00400308">
      <w:pPr>
        <w:pStyle w:val="B1"/>
        <w:overflowPunct w:val="0"/>
        <w:autoSpaceDE w:val="0"/>
        <w:autoSpaceDN w:val="0"/>
        <w:adjustRightInd w:val="0"/>
        <w:spacing w:before="180"/>
        <w:ind w:left="0" w:firstLine="0"/>
        <w:textAlignment w:val="baseline"/>
        <w:rPr>
          <w:sz w:val="20"/>
          <w:szCs w:val="20"/>
          <w:lang w:eastAsia="ja-JP"/>
        </w:rPr>
      </w:pPr>
      <w:r>
        <w:rPr>
          <w:sz w:val="20"/>
          <w:szCs w:val="20"/>
          <w:lang w:eastAsia="ja-JP"/>
        </w:rPr>
        <w:t>At RAN4 meeting</w:t>
      </w:r>
      <w:r w:rsidR="0000193D">
        <w:rPr>
          <w:sz w:val="20"/>
          <w:szCs w:val="20"/>
          <w:lang w:eastAsia="ja-JP"/>
        </w:rPr>
        <w:t>#10</w:t>
      </w:r>
      <w:r w:rsidR="00006869">
        <w:rPr>
          <w:sz w:val="20"/>
          <w:szCs w:val="20"/>
          <w:lang w:eastAsia="ja-JP"/>
        </w:rPr>
        <w:t>6</w:t>
      </w:r>
      <w:r w:rsidR="00082E65">
        <w:rPr>
          <w:sz w:val="20"/>
          <w:szCs w:val="20"/>
          <w:lang w:eastAsia="ja-JP"/>
        </w:rPr>
        <w:t>bis</w:t>
      </w:r>
      <w:r>
        <w:rPr>
          <w:sz w:val="20"/>
          <w:szCs w:val="20"/>
          <w:lang w:eastAsia="ja-JP"/>
        </w:rPr>
        <w:t xml:space="preserve">, </w:t>
      </w:r>
      <w:r w:rsidR="0000193D">
        <w:rPr>
          <w:sz w:val="20"/>
          <w:szCs w:val="20"/>
          <w:lang w:eastAsia="ja-JP"/>
        </w:rPr>
        <w:t xml:space="preserve">a </w:t>
      </w:r>
      <w:r w:rsidR="00B0107E" w:rsidRPr="00B0107E">
        <w:rPr>
          <w:sz w:val="20"/>
          <w:szCs w:val="20"/>
          <w:lang w:eastAsia="ja-JP"/>
        </w:rPr>
        <w:t xml:space="preserve">WF on TCI state switching in multi-Rx chain DL reception </w:t>
      </w:r>
      <w:r w:rsidR="0000193D">
        <w:rPr>
          <w:sz w:val="20"/>
          <w:szCs w:val="20"/>
          <w:lang w:eastAsia="ja-JP"/>
        </w:rPr>
        <w:t xml:space="preserve">was agreed </w:t>
      </w:r>
      <w:r w:rsidR="0065563F">
        <w:rPr>
          <w:sz w:val="20"/>
          <w:szCs w:val="20"/>
          <w:lang w:eastAsia="ja-JP"/>
        </w:rPr>
        <w:t>[1]</w:t>
      </w:r>
      <w:r>
        <w:rPr>
          <w:sz w:val="20"/>
          <w:szCs w:val="20"/>
          <w:lang w:eastAsia="ja-JP"/>
        </w:rPr>
        <w:t>.</w:t>
      </w:r>
      <w:r w:rsidR="00805370">
        <w:rPr>
          <w:sz w:val="20"/>
          <w:szCs w:val="20"/>
          <w:lang w:eastAsia="ja-JP"/>
        </w:rPr>
        <w:t xml:space="preserve"> </w:t>
      </w:r>
      <w:r w:rsidR="00083414">
        <w:rPr>
          <w:sz w:val="20"/>
          <w:szCs w:val="20"/>
        </w:rPr>
        <w:t xml:space="preserve">In this contribution, we </w:t>
      </w:r>
      <w:r w:rsidR="0000193D">
        <w:rPr>
          <w:sz w:val="20"/>
          <w:szCs w:val="20"/>
        </w:rPr>
        <w:t>discuss the</w:t>
      </w:r>
      <w:r w:rsidR="0065563F">
        <w:rPr>
          <w:sz w:val="20"/>
          <w:szCs w:val="20"/>
        </w:rPr>
        <w:t xml:space="preserve"> following issues:</w:t>
      </w:r>
    </w:p>
    <w:p w14:paraId="5FBBBA6B" w14:textId="2E6DC712" w:rsidR="0001496E" w:rsidRDefault="00C056AE" w:rsidP="0000193D">
      <w:pPr>
        <w:pStyle w:val="ListParagraph"/>
        <w:numPr>
          <w:ilvl w:val="0"/>
          <w:numId w:val="37"/>
        </w:numPr>
        <w:spacing w:before="100" w:beforeAutospacing="1" w:after="100" w:afterAutospacing="1"/>
        <w:rPr>
          <w:sz w:val="20"/>
          <w:szCs w:val="20"/>
        </w:rPr>
      </w:pPr>
      <w:r>
        <w:rPr>
          <w:sz w:val="20"/>
          <w:szCs w:val="20"/>
        </w:rPr>
        <w:t xml:space="preserve">TCI state switching </w:t>
      </w:r>
      <w:proofErr w:type="gramStart"/>
      <w:r>
        <w:rPr>
          <w:sz w:val="20"/>
          <w:szCs w:val="20"/>
        </w:rPr>
        <w:t>independency</w:t>
      </w:r>
      <w:proofErr w:type="gramEnd"/>
    </w:p>
    <w:p w14:paraId="7FC457EF" w14:textId="77777777" w:rsidR="00C056AE" w:rsidRDefault="00C056AE" w:rsidP="0065563F">
      <w:pPr>
        <w:pStyle w:val="ListParagraph"/>
        <w:numPr>
          <w:ilvl w:val="0"/>
          <w:numId w:val="37"/>
        </w:numPr>
        <w:spacing w:before="100" w:beforeAutospacing="1" w:after="100" w:afterAutospacing="1"/>
        <w:rPr>
          <w:sz w:val="20"/>
          <w:szCs w:val="20"/>
        </w:rPr>
      </w:pPr>
      <w:r w:rsidRPr="00C056AE">
        <w:rPr>
          <w:sz w:val="20"/>
          <w:szCs w:val="20"/>
        </w:rPr>
        <w:t>TCI state switch delay requirements</w:t>
      </w:r>
    </w:p>
    <w:p w14:paraId="17519B8E" w14:textId="138BB0AF" w:rsidR="0051004D" w:rsidRDefault="00C056AE" w:rsidP="0065563F">
      <w:pPr>
        <w:pStyle w:val="ListParagraph"/>
        <w:numPr>
          <w:ilvl w:val="0"/>
          <w:numId w:val="37"/>
        </w:numPr>
        <w:spacing w:before="100" w:beforeAutospacing="1" w:after="100" w:afterAutospacing="1"/>
        <w:rPr>
          <w:sz w:val="20"/>
          <w:szCs w:val="20"/>
        </w:rPr>
      </w:pPr>
      <w:r w:rsidRPr="00C056AE">
        <w:rPr>
          <w:sz w:val="20"/>
          <w:szCs w:val="20"/>
        </w:rPr>
        <w:t>UE behavior</w:t>
      </w:r>
      <w:r w:rsidR="00BE5B23">
        <w:rPr>
          <w:sz w:val="20"/>
          <w:szCs w:val="20"/>
        </w:rPr>
        <w:t xml:space="preserve"> in case the UE does not support the two configured target TCI </w:t>
      </w:r>
      <w:proofErr w:type="gramStart"/>
      <w:r w:rsidR="00BE5B23">
        <w:rPr>
          <w:sz w:val="20"/>
          <w:szCs w:val="20"/>
        </w:rPr>
        <w:t>states</w:t>
      </w:r>
      <w:proofErr w:type="gramEnd"/>
      <w:r w:rsidR="00BE5B23">
        <w:rPr>
          <w:sz w:val="20"/>
          <w:szCs w:val="20"/>
        </w:rPr>
        <w:t xml:space="preserve"> </w:t>
      </w:r>
    </w:p>
    <w:p w14:paraId="5DB259BF" w14:textId="6874FD39" w:rsidR="001F40CB" w:rsidRPr="001F40CB" w:rsidRDefault="001F40CB" w:rsidP="001F40CB">
      <w:pPr>
        <w:pStyle w:val="ListParagraph"/>
        <w:numPr>
          <w:ilvl w:val="0"/>
          <w:numId w:val="37"/>
        </w:numPr>
        <w:spacing w:before="100" w:beforeAutospacing="1" w:after="100" w:afterAutospacing="1"/>
        <w:rPr>
          <w:sz w:val="20"/>
          <w:szCs w:val="20"/>
        </w:rPr>
      </w:pPr>
      <w:r w:rsidRPr="00823989">
        <w:rPr>
          <w:sz w:val="20"/>
          <w:szCs w:val="20"/>
        </w:rPr>
        <w:t xml:space="preserve">Known </w:t>
      </w:r>
      <w:proofErr w:type="gramStart"/>
      <w:r w:rsidRPr="00823989">
        <w:rPr>
          <w:sz w:val="20"/>
          <w:szCs w:val="20"/>
        </w:rPr>
        <w:t>conditions</w:t>
      </w:r>
      <w:proofErr w:type="gramEnd"/>
    </w:p>
    <w:p w14:paraId="42E3FB41" w14:textId="2BBF79A8" w:rsidR="004C5265" w:rsidRDefault="008E7986" w:rsidP="005037D3">
      <w:pPr>
        <w:pStyle w:val="Heading1"/>
      </w:pPr>
      <w:r>
        <w:t>2</w:t>
      </w:r>
      <w:r>
        <w:tab/>
      </w:r>
      <w:r w:rsidR="0077432F">
        <w:t>Discussion</w:t>
      </w:r>
    </w:p>
    <w:p w14:paraId="7B9A3FC2" w14:textId="2263FC6C" w:rsidR="009F2B49" w:rsidRDefault="009F2B49" w:rsidP="009F2B49">
      <w:pPr>
        <w:pStyle w:val="Heading2"/>
      </w:pPr>
      <w:r>
        <w:t>2.</w:t>
      </w:r>
      <w:r w:rsidR="006A0912">
        <w:t>1</w:t>
      </w:r>
      <w:r>
        <w:t xml:space="preserve"> </w:t>
      </w:r>
      <w:r w:rsidR="00C056AE" w:rsidRPr="00C056AE">
        <w:t xml:space="preserve">TCI state switching </w:t>
      </w:r>
      <w:proofErr w:type="gramStart"/>
      <w:r w:rsidR="00C056AE" w:rsidRPr="00C056AE">
        <w:t>independency</w:t>
      </w:r>
      <w:proofErr w:type="gramEnd"/>
    </w:p>
    <w:p w14:paraId="2DF75956" w14:textId="6CB93CE9" w:rsidR="0065563F" w:rsidRPr="0065563F" w:rsidRDefault="00C056AE" w:rsidP="00406636">
      <w:pPr>
        <w:rPr>
          <w:color w:val="000000"/>
          <w:sz w:val="20"/>
          <w:szCs w:val="20"/>
          <w:lang w:val="en-GB"/>
        </w:rPr>
      </w:pPr>
      <w:r>
        <w:rPr>
          <w:color w:val="000000"/>
          <w:sz w:val="20"/>
          <w:szCs w:val="20"/>
          <w:lang w:val="en-GB"/>
        </w:rPr>
        <w:t>There is the following agreement in the WF</w:t>
      </w:r>
      <w:r w:rsidR="00EB233F">
        <w:rPr>
          <w:color w:val="000000"/>
          <w:sz w:val="20"/>
          <w:szCs w:val="20"/>
          <w:lang w:val="en-GB"/>
        </w:rPr>
        <w:t xml:space="preserve"> [</w:t>
      </w:r>
      <w:r w:rsidR="00E672F3">
        <w:rPr>
          <w:color w:val="000000"/>
          <w:sz w:val="20"/>
          <w:szCs w:val="20"/>
          <w:lang w:val="en-GB"/>
        </w:rPr>
        <w:t>3</w:t>
      </w:r>
      <w:r w:rsidR="00EB233F">
        <w:rPr>
          <w:color w:val="000000"/>
          <w:sz w:val="20"/>
          <w:szCs w:val="20"/>
          <w:lang w:val="en-GB"/>
        </w:rPr>
        <w:t>]</w:t>
      </w:r>
      <w:r w:rsidR="00D67845">
        <w:rPr>
          <w:color w:val="000000"/>
          <w:sz w:val="20"/>
          <w:szCs w:val="20"/>
          <w:lang w:val="en-GB"/>
        </w:rPr>
        <w:t xml:space="preserve"> at RAN4#104b</w:t>
      </w:r>
      <w:r w:rsidR="00EB233F">
        <w:rPr>
          <w:color w:val="000000"/>
          <w:sz w:val="20"/>
          <w:szCs w:val="20"/>
          <w:lang w:val="en-GB"/>
        </w:rPr>
        <w:t>.</w:t>
      </w:r>
    </w:p>
    <w:p w14:paraId="761129B3" w14:textId="66F08757" w:rsidR="00092DEA" w:rsidRDefault="00092DEA" w:rsidP="00A41D34">
      <w:pPr>
        <w:autoSpaceDE w:val="0"/>
        <w:autoSpaceDN w:val="0"/>
        <w:adjustRightInd w:val="0"/>
        <w:jc w:val="both"/>
        <w:rPr>
          <w:color w:val="000000"/>
          <w:sz w:val="20"/>
          <w:szCs w:val="20"/>
        </w:rPr>
      </w:pPr>
    </w:p>
    <w:p w14:paraId="538A2166" w14:textId="77777777" w:rsidR="00C056AE" w:rsidRPr="00C056AE" w:rsidRDefault="00C056AE" w:rsidP="00C056AE">
      <w:pPr>
        <w:rPr>
          <w:i/>
          <w:iCs/>
          <w:sz w:val="20"/>
          <w:szCs w:val="20"/>
        </w:rPr>
      </w:pPr>
      <w:r w:rsidRPr="00C056AE">
        <w:rPr>
          <w:i/>
          <w:iCs/>
          <w:sz w:val="20"/>
          <w:szCs w:val="20"/>
        </w:rPr>
        <w:t>Issue 1-2-1-2:  Can the TCI switch is assumed to be independent on each RX chain?</w:t>
      </w:r>
    </w:p>
    <w:p w14:paraId="753020DD" w14:textId="77777777" w:rsidR="00C056AE" w:rsidRPr="00C056AE" w:rsidRDefault="00C056AE" w:rsidP="00C056AE">
      <w:pPr>
        <w:rPr>
          <w:i/>
          <w:iCs/>
          <w:sz w:val="20"/>
          <w:szCs w:val="20"/>
        </w:rPr>
      </w:pPr>
      <w:r w:rsidRPr="00C056AE">
        <w:rPr>
          <w:i/>
          <w:iCs/>
          <w:sz w:val="20"/>
          <w:szCs w:val="20"/>
        </w:rPr>
        <w:t>A</w:t>
      </w:r>
      <w:r w:rsidRPr="00C056AE">
        <w:rPr>
          <w:rFonts w:hint="eastAsia"/>
          <w:i/>
          <w:iCs/>
          <w:sz w:val="20"/>
          <w:szCs w:val="20"/>
        </w:rPr>
        <w:t>greements:</w:t>
      </w:r>
      <w:r w:rsidRPr="00C056AE">
        <w:rPr>
          <w:i/>
          <w:iCs/>
          <w:sz w:val="20"/>
          <w:szCs w:val="20"/>
        </w:rPr>
        <w:t xml:space="preserve"> </w:t>
      </w:r>
    </w:p>
    <w:p w14:paraId="5269C42E" w14:textId="77777777" w:rsidR="00C056AE" w:rsidRPr="00C056AE" w:rsidRDefault="00C056AE" w:rsidP="00C056AE">
      <w:pPr>
        <w:pStyle w:val="ListParagraph"/>
        <w:numPr>
          <w:ilvl w:val="0"/>
          <w:numId w:val="45"/>
        </w:numPr>
        <w:overflowPunct w:val="0"/>
        <w:autoSpaceDE w:val="0"/>
        <w:autoSpaceDN w:val="0"/>
        <w:adjustRightInd w:val="0"/>
        <w:spacing w:after="180" w:line="259" w:lineRule="auto"/>
        <w:contextualSpacing w:val="0"/>
        <w:textAlignment w:val="baseline"/>
        <w:rPr>
          <w:i/>
          <w:iCs/>
          <w:sz w:val="20"/>
          <w:szCs w:val="20"/>
        </w:rPr>
      </w:pPr>
      <w:r w:rsidRPr="00C056AE">
        <w:rPr>
          <w:i/>
          <w:iCs/>
          <w:sz w:val="20"/>
          <w:szCs w:val="20"/>
        </w:rPr>
        <w:t>For each of the two TCI states, the TCI state switch is assumed to be independent</w:t>
      </w:r>
    </w:p>
    <w:p w14:paraId="3E980954" w14:textId="77777777" w:rsidR="00C056AE" w:rsidRPr="00C056AE" w:rsidRDefault="00C056AE" w:rsidP="00C056AE">
      <w:pPr>
        <w:numPr>
          <w:ilvl w:val="1"/>
          <w:numId w:val="45"/>
        </w:numPr>
        <w:spacing w:after="180"/>
        <w:rPr>
          <w:i/>
          <w:iCs/>
          <w:sz w:val="20"/>
          <w:szCs w:val="20"/>
        </w:rPr>
      </w:pPr>
      <w:r w:rsidRPr="00C056AE">
        <w:rPr>
          <w:i/>
          <w:iCs/>
          <w:sz w:val="20"/>
          <w:szCs w:val="20"/>
        </w:rPr>
        <w:t>FFS on the definition/scope of “independency.”</w:t>
      </w:r>
    </w:p>
    <w:p w14:paraId="0C18061F" w14:textId="3AF71AB9" w:rsidR="00C056AE" w:rsidRDefault="002E1F9D" w:rsidP="00A41D34">
      <w:pPr>
        <w:autoSpaceDE w:val="0"/>
        <w:autoSpaceDN w:val="0"/>
        <w:adjustRightInd w:val="0"/>
        <w:jc w:val="both"/>
        <w:rPr>
          <w:color w:val="000000"/>
          <w:sz w:val="20"/>
          <w:szCs w:val="20"/>
        </w:rPr>
      </w:pPr>
      <w:r>
        <w:rPr>
          <w:color w:val="000000"/>
          <w:sz w:val="20"/>
          <w:szCs w:val="20"/>
        </w:rPr>
        <w:t xml:space="preserve">In general, </w:t>
      </w:r>
      <w:r w:rsidR="00350433">
        <w:rPr>
          <w:color w:val="000000"/>
          <w:sz w:val="20"/>
          <w:szCs w:val="20"/>
        </w:rPr>
        <w:t xml:space="preserve">it is expected </w:t>
      </w:r>
      <w:r>
        <w:rPr>
          <w:color w:val="000000"/>
          <w:sz w:val="20"/>
          <w:szCs w:val="20"/>
        </w:rPr>
        <w:t xml:space="preserve">out of the two </w:t>
      </w:r>
      <w:r w:rsidR="00350433">
        <w:rPr>
          <w:color w:val="000000"/>
          <w:sz w:val="20"/>
          <w:szCs w:val="20"/>
        </w:rPr>
        <w:t xml:space="preserve">current </w:t>
      </w:r>
      <w:r>
        <w:rPr>
          <w:color w:val="000000"/>
          <w:sz w:val="20"/>
          <w:szCs w:val="20"/>
        </w:rPr>
        <w:t xml:space="preserve">TCI states, when one TCI state is switched, it should be independent from the other TCI state. In other words, one TCI state switch should not affect the operation of the other TCI state. However, </w:t>
      </w:r>
      <w:r w:rsidR="00350433">
        <w:rPr>
          <w:color w:val="000000"/>
          <w:sz w:val="20"/>
          <w:szCs w:val="20"/>
        </w:rPr>
        <w:t>there may be the following constraints:</w:t>
      </w:r>
      <w:r>
        <w:rPr>
          <w:color w:val="000000"/>
          <w:sz w:val="20"/>
          <w:szCs w:val="20"/>
        </w:rPr>
        <w:t xml:space="preserve"> </w:t>
      </w:r>
    </w:p>
    <w:p w14:paraId="40D629E9" w14:textId="25F78514" w:rsidR="002E1F9D" w:rsidRDefault="002E1F9D" w:rsidP="00A41D34">
      <w:pPr>
        <w:pStyle w:val="ListParagraph"/>
        <w:numPr>
          <w:ilvl w:val="0"/>
          <w:numId w:val="46"/>
        </w:numPr>
        <w:autoSpaceDE w:val="0"/>
        <w:autoSpaceDN w:val="0"/>
        <w:adjustRightInd w:val="0"/>
        <w:jc w:val="both"/>
        <w:rPr>
          <w:color w:val="000000"/>
          <w:sz w:val="20"/>
          <w:szCs w:val="20"/>
        </w:rPr>
      </w:pPr>
      <w:r>
        <w:rPr>
          <w:color w:val="000000"/>
          <w:sz w:val="20"/>
          <w:szCs w:val="20"/>
        </w:rPr>
        <w:t xml:space="preserve">The possible </w:t>
      </w:r>
      <w:r w:rsidR="00350433">
        <w:rPr>
          <w:color w:val="000000"/>
          <w:sz w:val="20"/>
          <w:szCs w:val="20"/>
        </w:rPr>
        <w:t xml:space="preserve">RF interaction between the panels. For example, let’s assume TCI state 1 is supported by panel A, TCI state 2 is supported by panel B. During TCI state switch, TCI state 2 switches to TCI state 3, which is supported by panel C. In this case, the UE needs to power off panel B and power on panel C. </w:t>
      </w:r>
      <w:r w:rsidR="00700EBB">
        <w:rPr>
          <w:color w:val="000000"/>
          <w:sz w:val="20"/>
          <w:szCs w:val="20"/>
        </w:rPr>
        <w:t xml:space="preserve">As a result, </w:t>
      </w:r>
      <w:r w:rsidR="00350433">
        <w:rPr>
          <w:color w:val="000000"/>
          <w:sz w:val="20"/>
          <w:szCs w:val="20"/>
        </w:rPr>
        <w:t>there might be some transient impact on panel A because of the power</w:t>
      </w:r>
      <w:r w:rsidR="008F0C79">
        <w:rPr>
          <w:color w:val="000000"/>
          <w:sz w:val="20"/>
          <w:szCs w:val="20"/>
        </w:rPr>
        <w:t>-</w:t>
      </w:r>
      <w:r w:rsidR="00350433">
        <w:rPr>
          <w:color w:val="000000"/>
          <w:sz w:val="20"/>
          <w:szCs w:val="20"/>
        </w:rPr>
        <w:t>off/on of panel B/C, respectively, depending on the power supply and panel RF setting</w:t>
      </w:r>
      <w:r w:rsidR="008F0C79">
        <w:rPr>
          <w:color w:val="000000"/>
          <w:sz w:val="20"/>
          <w:szCs w:val="20"/>
        </w:rPr>
        <w:t xml:space="preserve"> preparation</w:t>
      </w:r>
      <w:r w:rsidR="00350433">
        <w:rPr>
          <w:color w:val="000000"/>
          <w:sz w:val="20"/>
          <w:szCs w:val="20"/>
        </w:rPr>
        <w:t xml:space="preserve">. In an extreme case, </w:t>
      </w:r>
      <w:r w:rsidR="008F0C79">
        <w:rPr>
          <w:color w:val="000000"/>
          <w:sz w:val="20"/>
          <w:szCs w:val="20"/>
        </w:rPr>
        <w:t>both TCI states 1 and 2 switch to TCI states 3 and 4 and involve power-off of two panels and power-on of another two panels.</w:t>
      </w:r>
    </w:p>
    <w:p w14:paraId="1FA3872D" w14:textId="0F2CD245" w:rsidR="00F71571" w:rsidRDefault="00911016" w:rsidP="00F71571">
      <w:pPr>
        <w:pStyle w:val="ListParagraph"/>
        <w:numPr>
          <w:ilvl w:val="0"/>
          <w:numId w:val="46"/>
        </w:numPr>
        <w:autoSpaceDE w:val="0"/>
        <w:autoSpaceDN w:val="0"/>
        <w:adjustRightInd w:val="0"/>
        <w:jc w:val="both"/>
        <w:rPr>
          <w:color w:val="000000"/>
          <w:sz w:val="20"/>
          <w:szCs w:val="20"/>
        </w:rPr>
      </w:pPr>
      <w:r w:rsidRPr="008F0C79">
        <w:rPr>
          <w:color w:val="000000"/>
          <w:sz w:val="20"/>
          <w:szCs w:val="20"/>
        </w:rPr>
        <w:t>L1</w:t>
      </w:r>
      <w:r>
        <w:rPr>
          <w:color w:val="000000"/>
          <w:sz w:val="20"/>
          <w:szCs w:val="20"/>
        </w:rPr>
        <w:t xml:space="preserve"> </w:t>
      </w:r>
      <w:r w:rsidRPr="008F0C79">
        <w:rPr>
          <w:color w:val="000000"/>
          <w:sz w:val="20"/>
          <w:szCs w:val="20"/>
        </w:rPr>
        <w:t>measurement and processing constraint</w:t>
      </w:r>
      <w:r>
        <w:rPr>
          <w:color w:val="000000"/>
          <w:sz w:val="20"/>
          <w:szCs w:val="20"/>
        </w:rPr>
        <w:t xml:space="preserve">. </w:t>
      </w:r>
      <w:r w:rsidR="00D031B0">
        <w:rPr>
          <w:color w:val="000000"/>
          <w:sz w:val="20"/>
          <w:szCs w:val="20"/>
        </w:rPr>
        <w:t xml:space="preserve">If both target TCI states are unknow, the UE needs to perform </w:t>
      </w:r>
      <w:r>
        <w:rPr>
          <w:color w:val="000000"/>
          <w:sz w:val="20"/>
          <w:szCs w:val="20"/>
        </w:rPr>
        <w:t xml:space="preserve">parallel </w:t>
      </w:r>
      <w:r w:rsidR="00D031B0">
        <w:rPr>
          <w:color w:val="000000"/>
          <w:sz w:val="20"/>
          <w:szCs w:val="20"/>
        </w:rPr>
        <w:t>L1</w:t>
      </w:r>
      <w:r>
        <w:rPr>
          <w:color w:val="000000"/>
          <w:sz w:val="20"/>
          <w:szCs w:val="20"/>
        </w:rPr>
        <w:t>-RSRP</w:t>
      </w:r>
      <w:r w:rsidR="00D031B0">
        <w:rPr>
          <w:color w:val="000000"/>
          <w:sz w:val="20"/>
          <w:szCs w:val="20"/>
        </w:rPr>
        <w:t xml:space="preserve"> </w:t>
      </w:r>
      <w:r>
        <w:rPr>
          <w:color w:val="000000"/>
          <w:sz w:val="20"/>
          <w:szCs w:val="20"/>
        </w:rPr>
        <w:t>measurement for RX beam refinement</w:t>
      </w:r>
      <w:r w:rsidR="00D031B0">
        <w:rPr>
          <w:color w:val="000000"/>
          <w:sz w:val="20"/>
          <w:szCs w:val="20"/>
        </w:rPr>
        <w:t>.</w:t>
      </w:r>
      <w:r>
        <w:rPr>
          <w:color w:val="000000"/>
          <w:sz w:val="20"/>
          <w:szCs w:val="20"/>
        </w:rPr>
        <w:t xml:space="preserve"> If </w:t>
      </w:r>
      <w:r w:rsidR="008F0C79" w:rsidRPr="008F0C79">
        <w:rPr>
          <w:color w:val="000000"/>
          <w:sz w:val="20"/>
          <w:szCs w:val="20"/>
        </w:rPr>
        <w:t xml:space="preserve">there is some baseband resource sharing </w:t>
      </w:r>
      <w:r w:rsidR="008A24DA">
        <w:rPr>
          <w:color w:val="000000"/>
          <w:sz w:val="20"/>
          <w:szCs w:val="20"/>
        </w:rPr>
        <w:t xml:space="preserve">between the </w:t>
      </w:r>
      <w:r w:rsidR="008F0C79" w:rsidRPr="008F0C79">
        <w:rPr>
          <w:color w:val="000000"/>
          <w:sz w:val="20"/>
          <w:szCs w:val="20"/>
        </w:rPr>
        <w:t>two L1-RSRP measurement processe</w:t>
      </w:r>
      <w:r>
        <w:rPr>
          <w:color w:val="000000"/>
          <w:sz w:val="20"/>
          <w:szCs w:val="20"/>
        </w:rPr>
        <w:t>s</w:t>
      </w:r>
      <w:r w:rsidR="00E90EC1">
        <w:rPr>
          <w:color w:val="000000"/>
          <w:sz w:val="20"/>
          <w:szCs w:val="20"/>
        </w:rPr>
        <w:t xml:space="preserve">, </w:t>
      </w:r>
      <w:r w:rsidR="008A24DA">
        <w:rPr>
          <w:color w:val="000000"/>
          <w:sz w:val="20"/>
          <w:szCs w:val="20"/>
        </w:rPr>
        <w:t xml:space="preserve">they </w:t>
      </w:r>
      <w:r w:rsidR="008F0C79" w:rsidRPr="008F0C79">
        <w:rPr>
          <w:color w:val="000000"/>
          <w:sz w:val="20"/>
          <w:szCs w:val="20"/>
        </w:rPr>
        <w:t>are not completely independent</w:t>
      </w:r>
      <w:r w:rsidR="008A24DA">
        <w:rPr>
          <w:color w:val="000000"/>
          <w:sz w:val="20"/>
          <w:szCs w:val="20"/>
        </w:rPr>
        <w:t>.</w:t>
      </w:r>
    </w:p>
    <w:p w14:paraId="4ED81EFE" w14:textId="2C44B932" w:rsidR="00AB1ED1" w:rsidRDefault="00AB1ED1" w:rsidP="00F71571">
      <w:pPr>
        <w:pStyle w:val="ListParagraph"/>
        <w:numPr>
          <w:ilvl w:val="0"/>
          <w:numId w:val="46"/>
        </w:numPr>
        <w:autoSpaceDE w:val="0"/>
        <w:autoSpaceDN w:val="0"/>
        <w:adjustRightInd w:val="0"/>
        <w:jc w:val="both"/>
        <w:rPr>
          <w:color w:val="000000"/>
          <w:sz w:val="20"/>
          <w:szCs w:val="20"/>
        </w:rPr>
      </w:pPr>
      <w:r>
        <w:rPr>
          <w:color w:val="000000"/>
          <w:sz w:val="20"/>
          <w:szCs w:val="20"/>
        </w:rPr>
        <w:t>There may be other constraints.</w:t>
      </w:r>
    </w:p>
    <w:p w14:paraId="63817A7E" w14:textId="6769417D" w:rsidR="00AB1ED1" w:rsidRDefault="00AB1ED1" w:rsidP="00AB1ED1">
      <w:pPr>
        <w:autoSpaceDE w:val="0"/>
        <w:autoSpaceDN w:val="0"/>
        <w:adjustRightInd w:val="0"/>
        <w:jc w:val="both"/>
        <w:rPr>
          <w:color w:val="000000"/>
          <w:sz w:val="20"/>
          <w:szCs w:val="20"/>
        </w:rPr>
      </w:pPr>
    </w:p>
    <w:p w14:paraId="4C02346C" w14:textId="6676B7DF" w:rsidR="00AB1ED1" w:rsidRPr="00AB1ED1" w:rsidRDefault="00AB1ED1" w:rsidP="00AB1ED1">
      <w:pPr>
        <w:autoSpaceDE w:val="0"/>
        <w:autoSpaceDN w:val="0"/>
        <w:adjustRightInd w:val="0"/>
        <w:jc w:val="both"/>
        <w:rPr>
          <w:color w:val="000000"/>
          <w:sz w:val="20"/>
          <w:szCs w:val="20"/>
        </w:rPr>
      </w:pPr>
      <w:r>
        <w:rPr>
          <w:color w:val="000000"/>
          <w:sz w:val="20"/>
          <w:szCs w:val="20"/>
        </w:rPr>
        <w:t xml:space="preserve">To address the constraints so the TCI state switch in the context of two active TCI states can be made “independent,” </w:t>
      </w:r>
      <w:r w:rsidR="00D55AC7">
        <w:rPr>
          <w:color w:val="000000"/>
          <w:sz w:val="20"/>
          <w:szCs w:val="20"/>
        </w:rPr>
        <w:t xml:space="preserve">one possible way is </w:t>
      </w:r>
      <w:r>
        <w:rPr>
          <w:color w:val="000000"/>
          <w:sz w:val="20"/>
          <w:szCs w:val="20"/>
        </w:rPr>
        <w:t xml:space="preserve">to provide some additional delay </w:t>
      </w:r>
      <w:r w:rsidR="00D55AC7">
        <w:rPr>
          <w:color w:val="000000"/>
          <w:sz w:val="20"/>
          <w:szCs w:val="20"/>
        </w:rPr>
        <w:t>in the TCI switch delay.</w:t>
      </w:r>
      <w:r w:rsidR="00B376BF">
        <w:rPr>
          <w:color w:val="000000"/>
          <w:sz w:val="20"/>
          <w:szCs w:val="20"/>
        </w:rPr>
        <w:t xml:space="preserve"> It is proposed to add 250 us (1 slot for 60kHz SCS and two slots for 120kHz SCS) to accommodate such delay.</w:t>
      </w:r>
    </w:p>
    <w:p w14:paraId="5DD131E5" w14:textId="77777777" w:rsidR="00253687" w:rsidRDefault="00253687" w:rsidP="00A41D34">
      <w:pPr>
        <w:autoSpaceDE w:val="0"/>
        <w:autoSpaceDN w:val="0"/>
        <w:adjustRightInd w:val="0"/>
        <w:jc w:val="both"/>
        <w:rPr>
          <w:color w:val="000000"/>
          <w:sz w:val="20"/>
          <w:szCs w:val="20"/>
        </w:rPr>
      </w:pPr>
    </w:p>
    <w:p w14:paraId="0E47437F" w14:textId="16459119" w:rsidR="00724E0C" w:rsidRPr="00724E0C" w:rsidRDefault="00AB1ED1" w:rsidP="00724E0C">
      <w:pPr>
        <w:spacing w:before="100" w:beforeAutospacing="1" w:after="100"/>
        <w:rPr>
          <w:b/>
          <w:bCs/>
          <w:i/>
          <w:iCs/>
          <w:sz w:val="20"/>
          <w:szCs w:val="20"/>
        </w:rPr>
      </w:pPr>
      <w:r>
        <w:rPr>
          <w:b/>
          <w:bCs/>
          <w:i/>
          <w:iCs/>
          <w:sz w:val="20"/>
          <w:szCs w:val="20"/>
        </w:rPr>
        <w:t xml:space="preserve">Proposal </w:t>
      </w:r>
      <w:r w:rsidR="00B376BF">
        <w:rPr>
          <w:b/>
          <w:bCs/>
          <w:i/>
          <w:iCs/>
          <w:sz w:val="20"/>
          <w:szCs w:val="20"/>
        </w:rPr>
        <w:t>1</w:t>
      </w:r>
      <w:r w:rsidR="00092DEA" w:rsidRPr="004E0E90">
        <w:rPr>
          <w:b/>
          <w:bCs/>
          <w:i/>
          <w:iCs/>
          <w:sz w:val="20"/>
          <w:szCs w:val="20"/>
        </w:rPr>
        <w:t xml:space="preserve">: </w:t>
      </w:r>
      <w:r w:rsidR="00B376BF">
        <w:rPr>
          <w:b/>
          <w:bCs/>
          <w:i/>
          <w:iCs/>
          <w:sz w:val="20"/>
          <w:szCs w:val="20"/>
        </w:rPr>
        <w:t xml:space="preserve">To accommodate possible RF/BB </w:t>
      </w:r>
      <w:r w:rsidR="004C554E">
        <w:rPr>
          <w:b/>
          <w:bCs/>
          <w:i/>
          <w:iCs/>
          <w:sz w:val="20"/>
          <w:szCs w:val="20"/>
        </w:rPr>
        <w:t xml:space="preserve">implementation </w:t>
      </w:r>
      <w:r>
        <w:rPr>
          <w:b/>
          <w:bCs/>
          <w:i/>
          <w:iCs/>
          <w:sz w:val="20"/>
          <w:szCs w:val="20"/>
        </w:rPr>
        <w:t xml:space="preserve">constraints </w:t>
      </w:r>
      <w:r w:rsidR="004C554E">
        <w:rPr>
          <w:b/>
          <w:bCs/>
          <w:i/>
          <w:iCs/>
          <w:sz w:val="20"/>
          <w:szCs w:val="20"/>
        </w:rPr>
        <w:t>in dual TCI switching</w:t>
      </w:r>
      <w:r w:rsidR="00B376BF">
        <w:rPr>
          <w:b/>
          <w:bCs/>
          <w:i/>
          <w:iCs/>
          <w:sz w:val="20"/>
          <w:szCs w:val="20"/>
        </w:rPr>
        <w:t>, it is proposed to add 250us ad</w:t>
      </w:r>
      <w:r w:rsidR="004C554E">
        <w:rPr>
          <w:b/>
          <w:bCs/>
          <w:i/>
          <w:iCs/>
          <w:sz w:val="20"/>
          <w:szCs w:val="20"/>
        </w:rPr>
        <w:t>ditional delay</w:t>
      </w:r>
      <w:r w:rsidR="004F07FD">
        <w:rPr>
          <w:b/>
          <w:bCs/>
          <w:i/>
          <w:iCs/>
          <w:sz w:val="20"/>
          <w:szCs w:val="20"/>
        </w:rPr>
        <w:t>.</w:t>
      </w:r>
    </w:p>
    <w:p w14:paraId="7C8B6127" w14:textId="3AF289F6" w:rsidR="00353C63" w:rsidRPr="00823989" w:rsidRDefault="00F62112" w:rsidP="009D55F3">
      <w:pPr>
        <w:pStyle w:val="Heading2"/>
        <w:ind w:left="0" w:firstLine="0"/>
      </w:pPr>
      <w:r>
        <w:lastRenderedPageBreak/>
        <w:t>2.</w:t>
      </w:r>
      <w:r w:rsidR="002245F0">
        <w:t>2</w:t>
      </w:r>
      <w:r>
        <w:t xml:space="preserve"> </w:t>
      </w:r>
      <w:r w:rsidR="00B6233A" w:rsidRPr="00B6233A">
        <w:t>TCI state switch delay requirements</w:t>
      </w:r>
    </w:p>
    <w:p w14:paraId="5DB36EE5" w14:textId="27A6CC11" w:rsidR="00C273CF" w:rsidRDefault="002245F0" w:rsidP="001E7A2A">
      <w:pPr>
        <w:rPr>
          <w:color w:val="000000"/>
          <w:sz w:val="20"/>
          <w:szCs w:val="20"/>
          <w:lang w:val="en-GB"/>
        </w:rPr>
      </w:pPr>
      <w:r>
        <w:rPr>
          <w:color w:val="000000"/>
          <w:sz w:val="20"/>
          <w:szCs w:val="20"/>
          <w:lang w:val="en-GB"/>
        </w:rPr>
        <w:t xml:space="preserve">For single DCI based TCI state switch, </w:t>
      </w:r>
      <w:r w:rsidR="00353C63">
        <w:rPr>
          <w:color w:val="000000"/>
          <w:sz w:val="20"/>
          <w:szCs w:val="20"/>
          <w:lang w:val="en-GB"/>
        </w:rPr>
        <w:t>the legacy TCI state switching delay is expected to be reused</w:t>
      </w:r>
      <w:r>
        <w:rPr>
          <w:color w:val="000000"/>
          <w:sz w:val="20"/>
          <w:szCs w:val="20"/>
          <w:lang w:val="en-GB"/>
        </w:rPr>
        <w:t xml:space="preserve"> together with the additional delay of 250us in </w:t>
      </w:r>
      <w:r w:rsidR="00353C63">
        <w:rPr>
          <w:color w:val="000000"/>
          <w:sz w:val="20"/>
          <w:szCs w:val="20"/>
          <w:lang w:val="en-GB"/>
        </w:rPr>
        <w:t xml:space="preserve">Proposal </w:t>
      </w:r>
      <w:r>
        <w:rPr>
          <w:color w:val="000000"/>
          <w:sz w:val="20"/>
          <w:szCs w:val="20"/>
          <w:lang w:val="en-GB"/>
        </w:rPr>
        <w:t>1</w:t>
      </w:r>
      <w:r w:rsidR="00353C63">
        <w:rPr>
          <w:color w:val="000000"/>
          <w:sz w:val="20"/>
          <w:szCs w:val="20"/>
          <w:lang w:val="en-GB"/>
        </w:rPr>
        <w:t xml:space="preserve">. </w:t>
      </w:r>
    </w:p>
    <w:p w14:paraId="41326E10" w14:textId="77777777" w:rsidR="002245F0" w:rsidRDefault="002245F0" w:rsidP="001E7A2A">
      <w:pPr>
        <w:rPr>
          <w:color w:val="000000"/>
          <w:sz w:val="20"/>
          <w:szCs w:val="20"/>
          <w:lang w:val="en-GB"/>
        </w:rPr>
      </w:pPr>
    </w:p>
    <w:p w14:paraId="53F3875D" w14:textId="11980AD0" w:rsidR="002245F0" w:rsidRPr="002245F0" w:rsidRDefault="002245F0" w:rsidP="002245F0">
      <w:pPr>
        <w:spacing w:before="100" w:beforeAutospacing="1" w:after="100"/>
        <w:rPr>
          <w:b/>
          <w:bCs/>
          <w:i/>
          <w:iCs/>
          <w:sz w:val="20"/>
          <w:szCs w:val="20"/>
        </w:rPr>
      </w:pPr>
      <w:r w:rsidRPr="002245F0">
        <w:rPr>
          <w:b/>
          <w:bCs/>
          <w:i/>
          <w:iCs/>
          <w:sz w:val="20"/>
          <w:szCs w:val="20"/>
        </w:rPr>
        <w:t xml:space="preserve">Proposal </w:t>
      </w:r>
      <w:r>
        <w:rPr>
          <w:b/>
          <w:bCs/>
          <w:i/>
          <w:iCs/>
          <w:sz w:val="20"/>
          <w:szCs w:val="20"/>
        </w:rPr>
        <w:t>2</w:t>
      </w:r>
      <w:r w:rsidRPr="002245F0">
        <w:rPr>
          <w:b/>
          <w:bCs/>
          <w:i/>
          <w:iCs/>
          <w:sz w:val="20"/>
          <w:szCs w:val="20"/>
        </w:rPr>
        <w:t xml:space="preserve">: For single DCI based TCI state switch, the current requirement can be used as a baseline. In addition, </w:t>
      </w:r>
      <w:proofErr w:type="gramStart"/>
      <w:r w:rsidRPr="002245F0">
        <w:rPr>
          <w:b/>
          <w:bCs/>
          <w:i/>
          <w:iCs/>
          <w:sz w:val="20"/>
          <w:szCs w:val="20"/>
        </w:rPr>
        <w:t>It</w:t>
      </w:r>
      <w:proofErr w:type="gramEnd"/>
      <w:r w:rsidRPr="002245F0">
        <w:rPr>
          <w:b/>
          <w:bCs/>
          <w:i/>
          <w:iCs/>
          <w:sz w:val="20"/>
          <w:szCs w:val="20"/>
        </w:rPr>
        <w:t xml:space="preserve"> is proposed to consider </w:t>
      </w:r>
      <w:r>
        <w:rPr>
          <w:b/>
          <w:bCs/>
          <w:i/>
          <w:iCs/>
          <w:sz w:val="20"/>
          <w:szCs w:val="20"/>
        </w:rPr>
        <w:t>250us additional delay</w:t>
      </w:r>
      <w:r w:rsidRPr="002245F0">
        <w:rPr>
          <w:b/>
          <w:bCs/>
          <w:i/>
          <w:iCs/>
          <w:sz w:val="20"/>
          <w:szCs w:val="20"/>
        </w:rPr>
        <w:t xml:space="preserve"> </w:t>
      </w:r>
      <w:r>
        <w:rPr>
          <w:b/>
          <w:bCs/>
          <w:i/>
          <w:iCs/>
          <w:sz w:val="20"/>
          <w:szCs w:val="20"/>
        </w:rPr>
        <w:t xml:space="preserve">to accommodate </w:t>
      </w:r>
      <w:r w:rsidRPr="002245F0">
        <w:rPr>
          <w:b/>
          <w:bCs/>
          <w:i/>
          <w:iCs/>
          <w:sz w:val="20"/>
          <w:szCs w:val="20"/>
        </w:rPr>
        <w:t>potential RF and/or L1-RSRP measurement and processing constraint.</w:t>
      </w:r>
    </w:p>
    <w:p w14:paraId="5CAE6097" w14:textId="77777777" w:rsidR="002245F0" w:rsidRDefault="002245F0" w:rsidP="001E7A2A">
      <w:pPr>
        <w:rPr>
          <w:color w:val="000000"/>
          <w:sz w:val="20"/>
          <w:szCs w:val="20"/>
          <w:lang w:val="en-GB"/>
        </w:rPr>
      </w:pPr>
    </w:p>
    <w:p w14:paraId="6006ACC5" w14:textId="61EE2C68" w:rsidR="002245F0" w:rsidRDefault="002245F0" w:rsidP="001E7A2A">
      <w:pPr>
        <w:rPr>
          <w:color w:val="000000"/>
          <w:sz w:val="20"/>
          <w:szCs w:val="20"/>
          <w:lang w:val="en-GB"/>
        </w:rPr>
      </w:pPr>
      <w:r w:rsidRPr="002245F0">
        <w:rPr>
          <w:color w:val="000000"/>
          <w:sz w:val="20"/>
          <w:szCs w:val="20"/>
          <w:lang w:val="en-GB"/>
        </w:rPr>
        <w:t>For multi</w:t>
      </w:r>
      <w:r w:rsidR="002C4ECD">
        <w:rPr>
          <w:color w:val="000000"/>
          <w:sz w:val="20"/>
          <w:szCs w:val="20"/>
          <w:lang w:val="en-GB"/>
        </w:rPr>
        <w:t>-</w:t>
      </w:r>
      <w:r w:rsidRPr="002245F0">
        <w:rPr>
          <w:color w:val="000000"/>
          <w:sz w:val="20"/>
          <w:szCs w:val="20"/>
          <w:lang w:val="en-GB"/>
        </w:rPr>
        <w:t xml:space="preserve">DCI based TCI state switch, </w:t>
      </w:r>
      <w:r>
        <w:rPr>
          <w:color w:val="000000"/>
          <w:sz w:val="20"/>
          <w:szCs w:val="20"/>
          <w:lang w:val="en-GB"/>
        </w:rPr>
        <w:t xml:space="preserve">as the TCI switch command may arrive at different slots. In this case, it is essentially covered by the existing single TCI switching delay requirement by considering two separate single TCI switching procedures. As such, we propose to only </w:t>
      </w:r>
      <w:r w:rsidRPr="002245F0">
        <w:rPr>
          <w:color w:val="000000"/>
          <w:sz w:val="20"/>
          <w:szCs w:val="20"/>
          <w:lang w:val="en-GB"/>
        </w:rPr>
        <w:t>consider specifying requirements when TCI switching commands are received in the same slot.</w:t>
      </w:r>
    </w:p>
    <w:p w14:paraId="5DF3DFF6" w14:textId="6FE3B7E1" w:rsidR="00EA6EB0" w:rsidRDefault="00EA6EB0" w:rsidP="001E7A2A">
      <w:pPr>
        <w:rPr>
          <w:color w:val="000000"/>
          <w:sz w:val="20"/>
          <w:szCs w:val="20"/>
          <w:lang w:val="en-GB"/>
        </w:rPr>
      </w:pPr>
    </w:p>
    <w:p w14:paraId="6B812509" w14:textId="4AFBE0F9" w:rsidR="00353C63" w:rsidRPr="002245F0" w:rsidRDefault="002245F0" w:rsidP="002245F0">
      <w:pPr>
        <w:spacing w:before="100" w:beforeAutospacing="1" w:after="100"/>
        <w:rPr>
          <w:b/>
          <w:bCs/>
          <w:i/>
          <w:iCs/>
          <w:sz w:val="20"/>
          <w:szCs w:val="20"/>
        </w:rPr>
      </w:pPr>
      <w:r w:rsidRPr="002245F0">
        <w:rPr>
          <w:b/>
          <w:bCs/>
          <w:i/>
          <w:iCs/>
          <w:sz w:val="20"/>
          <w:szCs w:val="20"/>
        </w:rPr>
        <w:t xml:space="preserve">Proposal </w:t>
      </w:r>
      <w:r w:rsidR="002C4ECD">
        <w:rPr>
          <w:b/>
          <w:bCs/>
          <w:i/>
          <w:iCs/>
          <w:sz w:val="20"/>
          <w:szCs w:val="20"/>
        </w:rPr>
        <w:t>3</w:t>
      </w:r>
      <w:r w:rsidRPr="002245F0">
        <w:rPr>
          <w:b/>
          <w:bCs/>
          <w:i/>
          <w:iCs/>
          <w:sz w:val="20"/>
          <w:szCs w:val="20"/>
        </w:rPr>
        <w:t>: For multi</w:t>
      </w:r>
      <w:r w:rsidR="002C4ECD">
        <w:rPr>
          <w:b/>
          <w:bCs/>
          <w:i/>
          <w:iCs/>
          <w:sz w:val="20"/>
          <w:szCs w:val="20"/>
        </w:rPr>
        <w:t>-</w:t>
      </w:r>
      <w:r w:rsidRPr="002245F0">
        <w:rPr>
          <w:b/>
          <w:bCs/>
          <w:i/>
          <w:iCs/>
          <w:sz w:val="20"/>
          <w:szCs w:val="20"/>
        </w:rPr>
        <w:t>DCI based TCI state switch, only consider specifying requirements when TCI switching commands are received in the same slot.</w:t>
      </w:r>
      <w:r w:rsidR="00D87788">
        <w:rPr>
          <w:b/>
          <w:bCs/>
          <w:i/>
          <w:iCs/>
          <w:sz w:val="20"/>
          <w:szCs w:val="20"/>
        </w:rPr>
        <w:t xml:space="preserve"> </w:t>
      </w:r>
      <w:r w:rsidR="00D87788" w:rsidRPr="002245F0">
        <w:rPr>
          <w:b/>
          <w:bCs/>
          <w:i/>
          <w:iCs/>
          <w:sz w:val="20"/>
          <w:szCs w:val="20"/>
        </w:rPr>
        <w:t xml:space="preserve">In addition, </w:t>
      </w:r>
      <w:proofErr w:type="gramStart"/>
      <w:r w:rsidR="00D87788" w:rsidRPr="002245F0">
        <w:rPr>
          <w:b/>
          <w:bCs/>
          <w:i/>
          <w:iCs/>
          <w:sz w:val="20"/>
          <w:szCs w:val="20"/>
        </w:rPr>
        <w:t>It</w:t>
      </w:r>
      <w:proofErr w:type="gramEnd"/>
      <w:r w:rsidR="00D87788" w:rsidRPr="002245F0">
        <w:rPr>
          <w:b/>
          <w:bCs/>
          <w:i/>
          <w:iCs/>
          <w:sz w:val="20"/>
          <w:szCs w:val="20"/>
        </w:rPr>
        <w:t xml:space="preserve"> is proposed to consider </w:t>
      </w:r>
      <w:r w:rsidR="00D87788">
        <w:rPr>
          <w:b/>
          <w:bCs/>
          <w:i/>
          <w:iCs/>
          <w:sz w:val="20"/>
          <w:szCs w:val="20"/>
        </w:rPr>
        <w:t>250us additional delay</w:t>
      </w:r>
      <w:r w:rsidR="00D87788" w:rsidRPr="002245F0">
        <w:rPr>
          <w:b/>
          <w:bCs/>
          <w:i/>
          <w:iCs/>
          <w:sz w:val="20"/>
          <w:szCs w:val="20"/>
        </w:rPr>
        <w:t xml:space="preserve"> </w:t>
      </w:r>
      <w:r w:rsidR="00D87788">
        <w:rPr>
          <w:b/>
          <w:bCs/>
          <w:i/>
          <w:iCs/>
          <w:sz w:val="20"/>
          <w:szCs w:val="20"/>
        </w:rPr>
        <w:t xml:space="preserve">to accommodate </w:t>
      </w:r>
      <w:r w:rsidR="00D87788" w:rsidRPr="002245F0">
        <w:rPr>
          <w:b/>
          <w:bCs/>
          <w:i/>
          <w:iCs/>
          <w:sz w:val="20"/>
          <w:szCs w:val="20"/>
        </w:rPr>
        <w:t>potential RF and/or L1-RSRP measurement and processing constraint.</w:t>
      </w:r>
    </w:p>
    <w:p w14:paraId="2827105C" w14:textId="77777777" w:rsidR="006C0730" w:rsidRPr="002245F0" w:rsidRDefault="006C0730" w:rsidP="002245F0">
      <w:pPr>
        <w:rPr>
          <w:color w:val="000000"/>
          <w:sz w:val="20"/>
          <w:szCs w:val="20"/>
        </w:rPr>
      </w:pPr>
    </w:p>
    <w:p w14:paraId="479623AF" w14:textId="0964DB31" w:rsidR="0093011A" w:rsidRDefault="0093011A" w:rsidP="0093011A">
      <w:pPr>
        <w:pStyle w:val="Heading2"/>
      </w:pPr>
      <w:r>
        <w:t>2.</w:t>
      </w:r>
      <w:r w:rsidR="00312BF7">
        <w:t>3</w:t>
      </w:r>
      <w:r>
        <w:t xml:space="preserve"> </w:t>
      </w:r>
      <w:r w:rsidRPr="00BE5B23">
        <w:t xml:space="preserve">UE </w:t>
      </w:r>
      <w:proofErr w:type="spellStart"/>
      <w:r w:rsidRPr="00BE5B23">
        <w:t>behavior</w:t>
      </w:r>
      <w:proofErr w:type="spellEnd"/>
      <w:r w:rsidRPr="00BE5B23">
        <w:t xml:space="preserve"> in case the UE does not support the two configured target TCI </w:t>
      </w:r>
      <w:proofErr w:type="gramStart"/>
      <w:r w:rsidRPr="00BE5B23">
        <w:t>states</w:t>
      </w:r>
      <w:proofErr w:type="gramEnd"/>
    </w:p>
    <w:p w14:paraId="65E3BFB2" w14:textId="77777777" w:rsidR="0093011A" w:rsidRDefault="0093011A" w:rsidP="0093011A">
      <w:pPr>
        <w:rPr>
          <w:color w:val="000000"/>
          <w:sz w:val="20"/>
          <w:szCs w:val="20"/>
          <w:lang w:val="en-GB"/>
        </w:rPr>
      </w:pPr>
      <w:r>
        <w:rPr>
          <w:color w:val="000000"/>
          <w:sz w:val="20"/>
          <w:szCs w:val="20"/>
          <w:lang w:val="en-GB"/>
        </w:rPr>
        <w:t>When the network configures two target TCI states to a UE, an issue may arise: what if the UE does not support the two target TCI states simultaneously? To address this issue, we share some options below for consideration:</w:t>
      </w:r>
    </w:p>
    <w:p w14:paraId="6D3E08AC" w14:textId="77777777" w:rsidR="0093011A" w:rsidRDefault="0093011A" w:rsidP="0093011A">
      <w:pPr>
        <w:pStyle w:val="ListParagraph"/>
        <w:numPr>
          <w:ilvl w:val="0"/>
          <w:numId w:val="50"/>
        </w:numPr>
        <w:rPr>
          <w:color w:val="000000"/>
          <w:sz w:val="20"/>
          <w:szCs w:val="20"/>
          <w:lang w:val="en-GB"/>
        </w:rPr>
      </w:pPr>
      <w:r>
        <w:rPr>
          <w:color w:val="000000"/>
          <w:sz w:val="20"/>
          <w:szCs w:val="20"/>
          <w:lang w:val="en-GB"/>
        </w:rPr>
        <w:t>The network is supposed to configure two target TCI states based on UE group-based beam reporting, and the network will only configure TCI states that the UE supports. If this is the case, no further action is needed in RAN4.</w:t>
      </w:r>
    </w:p>
    <w:p w14:paraId="7FDF95BB" w14:textId="77777777" w:rsidR="0093011A" w:rsidRPr="00BC18F8" w:rsidRDefault="0093011A" w:rsidP="0093011A">
      <w:pPr>
        <w:pStyle w:val="ListParagraph"/>
        <w:numPr>
          <w:ilvl w:val="0"/>
          <w:numId w:val="50"/>
        </w:numPr>
        <w:rPr>
          <w:color w:val="000000"/>
          <w:sz w:val="20"/>
          <w:szCs w:val="20"/>
          <w:lang w:val="en-GB"/>
        </w:rPr>
      </w:pPr>
      <w:r>
        <w:rPr>
          <w:color w:val="000000"/>
          <w:sz w:val="20"/>
          <w:szCs w:val="20"/>
          <w:lang w:val="en-GB"/>
        </w:rPr>
        <w:t xml:space="preserve">If the network cannot ensure that the two configured TCI states are always supported by the UE, what is the UE </w:t>
      </w:r>
      <w:proofErr w:type="spellStart"/>
      <w:r>
        <w:rPr>
          <w:color w:val="000000"/>
          <w:sz w:val="20"/>
          <w:szCs w:val="20"/>
          <w:lang w:val="en-GB"/>
        </w:rPr>
        <w:t>behavior</w:t>
      </w:r>
      <w:proofErr w:type="spellEnd"/>
      <w:r>
        <w:rPr>
          <w:color w:val="000000"/>
          <w:sz w:val="20"/>
          <w:szCs w:val="20"/>
          <w:lang w:val="en-GB"/>
        </w:rPr>
        <w:t xml:space="preserve">? Should the UE inform the network it does not support the two configured TCI </w:t>
      </w:r>
      <w:proofErr w:type="gramStart"/>
      <w:r>
        <w:rPr>
          <w:color w:val="000000"/>
          <w:sz w:val="20"/>
          <w:szCs w:val="20"/>
          <w:lang w:val="en-GB"/>
        </w:rPr>
        <w:t>states</w:t>
      </w:r>
      <w:proofErr w:type="gramEnd"/>
      <w:r>
        <w:rPr>
          <w:color w:val="000000"/>
          <w:sz w:val="20"/>
          <w:szCs w:val="20"/>
          <w:lang w:val="en-GB"/>
        </w:rPr>
        <w:t xml:space="preserve"> or it takes no action and let the TCI state switching fail?</w:t>
      </w:r>
    </w:p>
    <w:p w14:paraId="3F8032D3" w14:textId="77777777" w:rsidR="0093011A" w:rsidRDefault="0093011A" w:rsidP="0093011A">
      <w:pPr>
        <w:rPr>
          <w:color w:val="000000"/>
          <w:sz w:val="20"/>
          <w:szCs w:val="20"/>
          <w:lang w:val="en-GB"/>
        </w:rPr>
      </w:pPr>
    </w:p>
    <w:p w14:paraId="342AA74A" w14:textId="26EBBB70" w:rsidR="0093011A" w:rsidRDefault="0093011A" w:rsidP="0093011A">
      <w:pPr>
        <w:rPr>
          <w:b/>
          <w:bCs/>
          <w:i/>
          <w:iCs/>
          <w:sz w:val="20"/>
          <w:szCs w:val="20"/>
        </w:rPr>
      </w:pPr>
      <w:r>
        <w:rPr>
          <w:b/>
          <w:bCs/>
          <w:i/>
          <w:iCs/>
          <w:sz w:val="20"/>
          <w:szCs w:val="20"/>
        </w:rPr>
        <w:t xml:space="preserve">Proposal </w:t>
      </w:r>
      <w:r w:rsidR="00312BF7">
        <w:rPr>
          <w:b/>
          <w:bCs/>
          <w:i/>
          <w:iCs/>
          <w:sz w:val="20"/>
          <w:szCs w:val="20"/>
        </w:rPr>
        <w:t>4</w:t>
      </w:r>
      <w:r w:rsidRPr="004E0E90">
        <w:rPr>
          <w:b/>
          <w:bCs/>
          <w:i/>
          <w:iCs/>
          <w:sz w:val="20"/>
          <w:szCs w:val="20"/>
        </w:rPr>
        <w:t xml:space="preserve">: </w:t>
      </w:r>
      <w:r>
        <w:rPr>
          <w:b/>
          <w:bCs/>
          <w:i/>
          <w:iCs/>
          <w:sz w:val="20"/>
          <w:szCs w:val="20"/>
        </w:rPr>
        <w:t xml:space="preserve">It is proposed to discuss and decide </w:t>
      </w:r>
      <w:r w:rsidRPr="00244A1B">
        <w:rPr>
          <w:b/>
          <w:bCs/>
          <w:i/>
          <w:iCs/>
          <w:sz w:val="20"/>
          <w:szCs w:val="20"/>
        </w:rPr>
        <w:t>UE behavior in case the UE does not support the two configured target TCI states</w:t>
      </w:r>
      <w:r>
        <w:rPr>
          <w:b/>
          <w:bCs/>
          <w:i/>
          <w:iCs/>
          <w:sz w:val="20"/>
          <w:szCs w:val="20"/>
        </w:rPr>
        <w:t xml:space="preserve"> </w:t>
      </w:r>
      <w:r w:rsidRPr="0023723C">
        <w:rPr>
          <w:b/>
          <w:bCs/>
          <w:i/>
          <w:iCs/>
          <w:sz w:val="20"/>
          <w:szCs w:val="20"/>
        </w:rPr>
        <w:t>simultaneously</w:t>
      </w:r>
      <w:r>
        <w:rPr>
          <w:b/>
          <w:bCs/>
          <w:i/>
          <w:iCs/>
          <w:sz w:val="20"/>
          <w:szCs w:val="20"/>
        </w:rPr>
        <w:t>.</w:t>
      </w:r>
    </w:p>
    <w:p w14:paraId="4DAF7DB5" w14:textId="77777777" w:rsidR="00F41289" w:rsidRDefault="00F41289" w:rsidP="0093011A">
      <w:pPr>
        <w:rPr>
          <w:b/>
          <w:bCs/>
          <w:i/>
          <w:iCs/>
          <w:sz w:val="20"/>
          <w:szCs w:val="20"/>
        </w:rPr>
      </w:pPr>
    </w:p>
    <w:p w14:paraId="32784587" w14:textId="7D684D6B" w:rsidR="00F41289" w:rsidRDefault="00F41289" w:rsidP="00F41289">
      <w:pPr>
        <w:pStyle w:val="Heading2"/>
      </w:pPr>
      <w:r>
        <w:t>2.</w:t>
      </w:r>
      <w:r>
        <w:t>4</w:t>
      </w:r>
      <w:r>
        <w:t xml:space="preserve"> </w:t>
      </w:r>
      <w:r w:rsidR="009D55F3">
        <w:t xml:space="preserve">Known </w:t>
      </w:r>
      <w:proofErr w:type="gramStart"/>
      <w:r w:rsidR="009D55F3">
        <w:t>conditions</w:t>
      </w:r>
      <w:proofErr w:type="gramEnd"/>
    </w:p>
    <w:p w14:paraId="3D0A25A6" w14:textId="77777777" w:rsidR="009D55F3" w:rsidRDefault="009D55F3" w:rsidP="00F41289">
      <w:pPr>
        <w:rPr>
          <w:color w:val="000000"/>
          <w:sz w:val="20"/>
          <w:szCs w:val="20"/>
          <w:lang w:val="en-GB"/>
        </w:rPr>
      </w:pPr>
      <w:r>
        <w:rPr>
          <w:color w:val="000000"/>
          <w:sz w:val="20"/>
          <w:szCs w:val="20"/>
          <w:lang w:val="en-GB"/>
        </w:rPr>
        <w:t>In the WF [1], there are two options:</w:t>
      </w:r>
    </w:p>
    <w:p w14:paraId="15E1C52B" w14:textId="77777777" w:rsidR="009D55F3" w:rsidRDefault="009D55F3" w:rsidP="00F41289">
      <w:pPr>
        <w:rPr>
          <w:color w:val="000000"/>
          <w:sz w:val="20"/>
          <w:szCs w:val="20"/>
          <w:lang w:val="en-GB"/>
        </w:rPr>
      </w:pPr>
    </w:p>
    <w:p w14:paraId="3AA1D116" w14:textId="77777777" w:rsidR="009D55F3" w:rsidRPr="009D55F3" w:rsidRDefault="009D55F3" w:rsidP="009D55F3">
      <w:pPr>
        <w:rPr>
          <w:b/>
          <w:sz w:val="20"/>
          <w:szCs w:val="20"/>
          <w:lang w:eastAsia="ko-KR"/>
        </w:rPr>
      </w:pPr>
      <w:r w:rsidRPr="009D55F3">
        <w:rPr>
          <w:b/>
          <w:sz w:val="20"/>
          <w:szCs w:val="20"/>
          <w:lang w:eastAsia="ko-KR"/>
        </w:rPr>
        <w:t>Issue 2-5-2: Definition of known condition:</w:t>
      </w:r>
    </w:p>
    <w:p w14:paraId="6CDEFEA3" w14:textId="77777777" w:rsidR="009D55F3" w:rsidRPr="009D55F3" w:rsidRDefault="009D55F3" w:rsidP="009D55F3">
      <w:pPr>
        <w:spacing w:after="120"/>
        <w:rPr>
          <w:i/>
          <w:iCs/>
          <w:sz w:val="20"/>
          <w:szCs w:val="20"/>
        </w:rPr>
      </w:pPr>
      <w:r w:rsidRPr="009D55F3">
        <w:rPr>
          <w:i/>
          <w:iCs/>
          <w:sz w:val="20"/>
          <w:szCs w:val="20"/>
        </w:rPr>
        <w:t xml:space="preserve">Way forward: </w:t>
      </w:r>
    </w:p>
    <w:p w14:paraId="41DBB0DF" w14:textId="77777777" w:rsidR="009D55F3" w:rsidRPr="009D55F3" w:rsidRDefault="009D55F3" w:rsidP="009D55F3">
      <w:pPr>
        <w:spacing w:after="120"/>
        <w:rPr>
          <w:i/>
          <w:iCs/>
          <w:sz w:val="20"/>
          <w:szCs w:val="20"/>
        </w:rPr>
      </w:pPr>
      <w:r w:rsidRPr="009D55F3">
        <w:rPr>
          <w:i/>
          <w:iCs/>
          <w:sz w:val="20"/>
          <w:szCs w:val="20"/>
        </w:rPr>
        <w:t xml:space="preserve">GBBR is agreed as prerequisite to enable simultaneous reception. Does that mean dual TCI states are configured based on beams reported in GBBR or can other RS which are </w:t>
      </w:r>
      <w:proofErr w:type="spellStart"/>
      <w:r w:rsidRPr="009D55F3">
        <w:rPr>
          <w:i/>
          <w:iCs/>
          <w:sz w:val="20"/>
          <w:szCs w:val="20"/>
        </w:rPr>
        <w:t>QCLed</w:t>
      </w:r>
      <w:proofErr w:type="spellEnd"/>
      <w:r w:rsidRPr="009D55F3">
        <w:rPr>
          <w:i/>
          <w:iCs/>
          <w:sz w:val="20"/>
          <w:szCs w:val="20"/>
        </w:rPr>
        <w:t xml:space="preserve"> to beams reported in GBBR can be configured. Please consider following to provide your further analysis.  </w:t>
      </w:r>
    </w:p>
    <w:p w14:paraId="241D2604" w14:textId="77777777" w:rsidR="009D55F3" w:rsidRPr="009D55F3" w:rsidRDefault="009D55F3" w:rsidP="009D55F3">
      <w:pPr>
        <w:pStyle w:val="ListParagraph"/>
        <w:numPr>
          <w:ilvl w:val="0"/>
          <w:numId w:val="52"/>
        </w:numPr>
        <w:overflowPunct w:val="0"/>
        <w:autoSpaceDE w:val="0"/>
        <w:autoSpaceDN w:val="0"/>
        <w:adjustRightInd w:val="0"/>
        <w:spacing w:after="120"/>
        <w:contextualSpacing w:val="0"/>
        <w:textAlignment w:val="baseline"/>
        <w:rPr>
          <w:i/>
          <w:iCs/>
          <w:sz w:val="20"/>
          <w:szCs w:val="20"/>
        </w:rPr>
      </w:pPr>
      <w:r w:rsidRPr="009D55F3">
        <w:rPr>
          <w:i/>
          <w:iCs/>
          <w:sz w:val="20"/>
          <w:szCs w:val="20"/>
        </w:rPr>
        <w:t xml:space="preserve">Option 1: </w:t>
      </w:r>
      <w:r w:rsidRPr="009D55F3">
        <w:rPr>
          <w:rFonts w:eastAsia="SimSun"/>
          <w:i/>
          <w:iCs/>
          <w:sz w:val="20"/>
          <w:szCs w:val="20"/>
        </w:rPr>
        <w:t>dual TCI states are only configured based on beams reported in GBBR</w:t>
      </w:r>
      <w:r w:rsidRPr="009D55F3">
        <w:rPr>
          <w:i/>
          <w:iCs/>
          <w:sz w:val="20"/>
          <w:szCs w:val="20"/>
        </w:rPr>
        <w:t>.</w:t>
      </w:r>
    </w:p>
    <w:p w14:paraId="0D483A7A" w14:textId="77777777" w:rsidR="009D55F3" w:rsidRPr="009D55F3" w:rsidRDefault="009D55F3" w:rsidP="009D55F3">
      <w:pPr>
        <w:pStyle w:val="ListParagraph"/>
        <w:numPr>
          <w:ilvl w:val="0"/>
          <w:numId w:val="52"/>
        </w:numPr>
        <w:overflowPunct w:val="0"/>
        <w:autoSpaceDE w:val="0"/>
        <w:autoSpaceDN w:val="0"/>
        <w:adjustRightInd w:val="0"/>
        <w:spacing w:after="120"/>
        <w:contextualSpacing w:val="0"/>
        <w:textAlignment w:val="baseline"/>
        <w:rPr>
          <w:i/>
          <w:iCs/>
          <w:sz w:val="20"/>
          <w:szCs w:val="20"/>
        </w:rPr>
      </w:pPr>
      <w:r w:rsidRPr="009D55F3">
        <w:rPr>
          <w:i/>
          <w:iCs/>
          <w:sz w:val="20"/>
          <w:szCs w:val="20"/>
        </w:rPr>
        <w:t xml:space="preserve">Option2: </w:t>
      </w:r>
      <w:r w:rsidRPr="009D55F3">
        <w:rPr>
          <w:rFonts w:eastAsia="SimSun"/>
          <w:i/>
          <w:iCs/>
          <w:sz w:val="20"/>
          <w:szCs w:val="20"/>
        </w:rPr>
        <w:t xml:space="preserve">dual TCI states which are </w:t>
      </w:r>
      <w:proofErr w:type="spellStart"/>
      <w:r w:rsidRPr="009D55F3">
        <w:rPr>
          <w:rFonts w:eastAsia="SimSun"/>
          <w:i/>
          <w:iCs/>
          <w:sz w:val="20"/>
          <w:szCs w:val="20"/>
        </w:rPr>
        <w:t>QCLed</w:t>
      </w:r>
      <w:proofErr w:type="spellEnd"/>
      <w:r w:rsidRPr="009D55F3">
        <w:rPr>
          <w:rFonts w:eastAsia="SimSun"/>
          <w:i/>
          <w:iCs/>
          <w:sz w:val="20"/>
          <w:szCs w:val="20"/>
        </w:rPr>
        <w:t xml:space="preserve"> to beam pair reported in </w:t>
      </w:r>
      <w:r w:rsidRPr="009D55F3">
        <w:rPr>
          <w:i/>
          <w:iCs/>
          <w:sz w:val="20"/>
          <w:szCs w:val="20"/>
        </w:rPr>
        <w:t xml:space="preserve">GBBR can be </w:t>
      </w:r>
      <w:proofErr w:type="gramStart"/>
      <w:r w:rsidRPr="009D55F3">
        <w:rPr>
          <w:i/>
          <w:iCs/>
          <w:sz w:val="20"/>
          <w:szCs w:val="20"/>
        </w:rPr>
        <w:t>configured</w:t>
      </w:r>
      <w:proofErr w:type="gramEnd"/>
      <w:r w:rsidRPr="009D55F3">
        <w:rPr>
          <w:i/>
          <w:iCs/>
          <w:sz w:val="20"/>
          <w:szCs w:val="20"/>
        </w:rPr>
        <w:t xml:space="preserve"> </w:t>
      </w:r>
    </w:p>
    <w:p w14:paraId="23230D22" w14:textId="77777777" w:rsidR="009D55F3" w:rsidRPr="009D55F3" w:rsidRDefault="009D55F3" w:rsidP="00F41289">
      <w:pPr>
        <w:rPr>
          <w:color w:val="000000"/>
          <w:sz w:val="20"/>
          <w:szCs w:val="20"/>
        </w:rPr>
      </w:pPr>
    </w:p>
    <w:p w14:paraId="3F39C6CF" w14:textId="7652B499" w:rsidR="009D55F3" w:rsidRDefault="00F35F4C" w:rsidP="00F41289">
      <w:pPr>
        <w:rPr>
          <w:color w:val="000000"/>
          <w:sz w:val="20"/>
          <w:szCs w:val="20"/>
          <w:lang w:val="en-GB"/>
        </w:rPr>
      </w:pPr>
      <w:r>
        <w:rPr>
          <w:color w:val="000000"/>
          <w:sz w:val="20"/>
          <w:szCs w:val="20"/>
          <w:lang w:val="en-GB"/>
        </w:rPr>
        <w:t xml:space="preserve">Option 2 is preferred as it </w:t>
      </w:r>
      <w:r w:rsidRPr="00F35F4C">
        <w:rPr>
          <w:color w:val="000000"/>
          <w:sz w:val="20"/>
          <w:szCs w:val="20"/>
          <w:lang w:val="en-GB"/>
        </w:rPr>
        <w:t>as it gives network more flexibility to configure TCI states</w:t>
      </w:r>
      <w:r>
        <w:rPr>
          <w:color w:val="000000"/>
          <w:sz w:val="20"/>
          <w:szCs w:val="20"/>
          <w:lang w:val="en-GB"/>
        </w:rPr>
        <w:t>. The only condition required for Option 2 is that all the RSs on the same TCI chain needs to remain detectable during TCI switching.</w:t>
      </w:r>
    </w:p>
    <w:p w14:paraId="511D1377" w14:textId="77777777" w:rsidR="00F41289" w:rsidRDefault="00F41289" w:rsidP="00F41289">
      <w:pPr>
        <w:rPr>
          <w:color w:val="000000"/>
          <w:sz w:val="20"/>
          <w:szCs w:val="20"/>
          <w:lang w:val="en-GB"/>
        </w:rPr>
      </w:pPr>
    </w:p>
    <w:p w14:paraId="63809AA3" w14:textId="2EF04550" w:rsidR="00F41289" w:rsidRPr="001E7A2A" w:rsidRDefault="00F41289" w:rsidP="00F41289">
      <w:pPr>
        <w:rPr>
          <w:color w:val="000000"/>
          <w:sz w:val="20"/>
          <w:szCs w:val="20"/>
          <w:lang w:val="en-GB"/>
        </w:rPr>
      </w:pPr>
      <w:r>
        <w:rPr>
          <w:b/>
          <w:bCs/>
          <w:i/>
          <w:iCs/>
          <w:sz w:val="20"/>
          <w:szCs w:val="20"/>
        </w:rPr>
        <w:t xml:space="preserve">Proposal </w:t>
      </w:r>
      <w:r w:rsidR="00F35F4C">
        <w:rPr>
          <w:b/>
          <w:bCs/>
          <w:i/>
          <w:iCs/>
          <w:sz w:val="20"/>
          <w:szCs w:val="20"/>
        </w:rPr>
        <w:t>5</w:t>
      </w:r>
      <w:r w:rsidRPr="004E0E90">
        <w:rPr>
          <w:b/>
          <w:bCs/>
          <w:i/>
          <w:iCs/>
          <w:sz w:val="20"/>
          <w:szCs w:val="20"/>
        </w:rPr>
        <w:t xml:space="preserve">: </w:t>
      </w:r>
      <w:r w:rsidR="00F35F4C" w:rsidRPr="00F35F4C">
        <w:rPr>
          <w:b/>
          <w:bCs/>
          <w:i/>
          <w:iCs/>
          <w:sz w:val="20"/>
          <w:szCs w:val="20"/>
        </w:rPr>
        <w:t xml:space="preserve">Option 2 is preferred as it gives network more flexibility to configure TCI states, </w:t>
      </w:r>
      <w:r w:rsidR="00F35F4C">
        <w:rPr>
          <w:b/>
          <w:bCs/>
          <w:i/>
          <w:iCs/>
          <w:sz w:val="20"/>
          <w:szCs w:val="20"/>
        </w:rPr>
        <w:t xml:space="preserve">under the condition that </w:t>
      </w:r>
      <w:r w:rsidR="00F35F4C" w:rsidRPr="00F35F4C">
        <w:rPr>
          <w:b/>
          <w:bCs/>
          <w:i/>
          <w:iCs/>
          <w:sz w:val="20"/>
          <w:szCs w:val="20"/>
        </w:rPr>
        <w:t>all the RSs on the same TCI chain needs to remain detectable during TCI switching.</w:t>
      </w:r>
    </w:p>
    <w:p w14:paraId="59DDE12B" w14:textId="77777777" w:rsidR="00E55151" w:rsidRPr="00E55151" w:rsidRDefault="00E55151" w:rsidP="00C163A6">
      <w:pPr>
        <w:rPr>
          <w:color w:val="000000"/>
          <w:sz w:val="20"/>
          <w:szCs w:val="20"/>
          <w:lang w:val="en-GB"/>
        </w:rPr>
      </w:pPr>
    </w:p>
    <w:p w14:paraId="34C99636" w14:textId="77777777" w:rsidR="008E7986" w:rsidRDefault="008E7986" w:rsidP="008E7986">
      <w:pPr>
        <w:pStyle w:val="Heading1"/>
      </w:pPr>
      <w:r>
        <w:lastRenderedPageBreak/>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0D021E5A" w14:textId="77777777" w:rsidR="00D87788" w:rsidRPr="00724E0C" w:rsidRDefault="00D87788" w:rsidP="00D87788">
      <w:pPr>
        <w:spacing w:before="100" w:beforeAutospacing="1" w:after="100"/>
        <w:rPr>
          <w:b/>
          <w:bCs/>
          <w:i/>
          <w:iCs/>
          <w:sz w:val="20"/>
          <w:szCs w:val="20"/>
        </w:rPr>
      </w:pPr>
      <w:r>
        <w:rPr>
          <w:b/>
          <w:bCs/>
          <w:i/>
          <w:iCs/>
          <w:sz w:val="20"/>
          <w:szCs w:val="20"/>
        </w:rPr>
        <w:t>Proposal 1</w:t>
      </w:r>
      <w:r w:rsidRPr="004E0E90">
        <w:rPr>
          <w:b/>
          <w:bCs/>
          <w:i/>
          <w:iCs/>
          <w:sz w:val="20"/>
          <w:szCs w:val="20"/>
        </w:rPr>
        <w:t xml:space="preserve">: </w:t>
      </w:r>
      <w:r>
        <w:rPr>
          <w:b/>
          <w:bCs/>
          <w:i/>
          <w:iCs/>
          <w:sz w:val="20"/>
          <w:szCs w:val="20"/>
        </w:rPr>
        <w:t>To accommodate possible RF/BB implementation constraints in dual TCI switching, it is proposed to add 250us additional delay.</w:t>
      </w:r>
    </w:p>
    <w:p w14:paraId="0257E733" w14:textId="77777777" w:rsidR="00D87788" w:rsidRPr="002245F0" w:rsidRDefault="00D87788" w:rsidP="00D87788">
      <w:pPr>
        <w:spacing w:before="100" w:beforeAutospacing="1" w:after="100"/>
        <w:rPr>
          <w:b/>
          <w:bCs/>
          <w:i/>
          <w:iCs/>
          <w:sz w:val="20"/>
          <w:szCs w:val="20"/>
        </w:rPr>
      </w:pPr>
      <w:r w:rsidRPr="002245F0">
        <w:rPr>
          <w:b/>
          <w:bCs/>
          <w:i/>
          <w:iCs/>
          <w:sz w:val="20"/>
          <w:szCs w:val="20"/>
        </w:rPr>
        <w:t xml:space="preserve">Proposal </w:t>
      </w:r>
      <w:r>
        <w:rPr>
          <w:b/>
          <w:bCs/>
          <w:i/>
          <w:iCs/>
          <w:sz w:val="20"/>
          <w:szCs w:val="20"/>
        </w:rPr>
        <w:t>2</w:t>
      </w:r>
      <w:r w:rsidRPr="002245F0">
        <w:rPr>
          <w:b/>
          <w:bCs/>
          <w:i/>
          <w:iCs/>
          <w:sz w:val="20"/>
          <w:szCs w:val="20"/>
        </w:rPr>
        <w:t xml:space="preserve">: For single DCI based TCI state switch, the current requirement can be used as a baseline. In addition, </w:t>
      </w:r>
      <w:proofErr w:type="gramStart"/>
      <w:r w:rsidRPr="002245F0">
        <w:rPr>
          <w:b/>
          <w:bCs/>
          <w:i/>
          <w:iCs/>
          <w:sz w:val="20"/>
          <w:szCs w:val="20"/>
        </w:rPr>
        <w:t>It</w:t>
      </w:r>
      <w:proofErr w:type="gramEnd"/>
      <w:r w:rsidRPr="002245F0">
        <w:rPr>
          <w:b/>
          <w:bCs/>
          <w:i/>
          <w:iCs/>
          <w:sz w:val="20"/>
          <w:szCs w:val="20"/>
        </w:rPr>
        <w:t xml:space="preserve"> is proposed to consider </w:t>
      </w:r>
      <w:r>
        <w:rPr>
          <w:b/>
          <w:bCs/>
          <w:i/>
          <w:iCs/>
          <w:sz w:val="20"/>
          <w:szCs w:val="20"/>
        </w:rPr>
        <w:t>250us additional delay</w:t>
      </w:r>
      <w:r w:rsidRPr="002245F0">
        <w:rPr>
          <w:b/>
          <w:bCs/>
          <w:i/>
          <w:iCs/>
          <w:sz w:val="20"/>
          <w:szCs w:val="20"/>
        </w:rPr>
        <w:t xml:space="preserve"> </w:t>
      </w:r>
      <w:r>
        <w:rPr>
          <w:b/>
          <w:bCs/>
          <w:i/>
          <w:iCs/>
          <w:sz w:val="20"/>
          <w:szCs w:val="20"/>
        </w:rPr>
        <w:t xml:space="preserve">to accommodate </w:t>
      </w:r>
      <w:r w:rsidRPr="002245F0">
        <w:rPr>
          <w:b/>
          <w:bCs/>
          <w:i/>
          <w:iCs/>
          <w:sz w:val="20"/>
          <w:szCs w:val="20"/>
        </w:rPr>
        <w:t>potential RF and/or L1-RSRP measurement and processing constraint.</w:t>
      </w:r>
    </w:p>
    <w:p w14:paraId="0EBEC2F5" w14:textId="77777777" w:rsidR="00171FDC" w:rsidRPr="002245F0" w:rsidRDefault="00171FDC" w:rsidP="00171FDC">
      <w:pPr>
        <w:spacing w:before="100" w:beforeAutospacing="1" w:after="100"/>
        <w:rPr>
          <w:b/>
          <w:bCs/>
          <w:i/>
          <w:iCs/>
          <w:sz w:val="20"/>
          <w:szCs w:val="20"/>
        </w:rPr>
      </w:pPr>
      <w:r w:rsidRPr="002245F0">
        <w:rPr>
          <w:b/>
          <w:bCs/>
          <w:i/>
          <w:iCs/>
          <w:sz w:val="20"/>
          <w:szCs w:val="20"/>
        </w:rPr>
        <w:t xml:space="preserve">Proposal </w:t>
      </w:r>
      <w:r>
        <w:rPr>
          <w:b/>
          <w:bCs/>
          <w:i/>
          <w:iCs/>
          <w:sz w:val="20"/>
          <w:szCs w:val="20"/>
        </w:rPr>
        <w:t>3</w:t>
      </w:r>
      <w:r w:rsidRPr="002245F0">
        <w:rPr>
          <w:b/>
          <w:bCs/>
          <w:i/>
          <w:iCs/>
          <w:sz w:val="20"/>
          <w:szCs w:val="20"/>
        </w:rPr>
        <w:t>: For multi</w:t>
      </w:r>
      <w:r>
        <w:rPr>
          <w:b/>
          <w:bCs/>
          <w:i/>
          <w:iCs/>
          <w:sz w:val="20"/>
          <w:szCs w:val="20"/>
        </w:rPr>
        <w:t>-</w:t>
      </w:r>
      <w:r w:rsidRPr="002245F0">
        <w:rPr>
          <w:b/>
          <w:bCs/>
          <w:i/>
          <w:iCs/>
          <w:sz w:val="20"/>
          <w:szCs w:val="20"/>
        </w:rPr>
        <w:t>DCI based TCI state switch, only consider specifying requirements when TCI switching commands are received in the same slot.</w:t>
      </w:r>
      <w:r>
        <w:rPr>
          <w:b/>
          <w:bCs/>
          <w:i/>
          <w:iCs/>
          <w:sz w:val="20"/>
          <w:szCs w:val="20"/>
        </w:rPr>
        <w:t xml:space="preserve"> </w:t>
      </w:r>
      <w:r w:rsidRPr="002245F0">
        <w:rPr>
          <w:b/>
          <w:bCs/>
          <w:i/>
          <w:iCs/>
          <w:sz w:val="20"/>
          <w:szCs w:val="20"/>
        </w:rPr>
        <w:t xml:space="preserve">In addition, </w:t>
      </w:r>
      <w:proofErr w:type="gramStart"/>
      <w:r w:rsidRPr="002245F0">
        <w:rPr>
          <w:b/>
          <w:bCs/>
          <w:i/>
          <w:iCs/>
          <w:sz w:val="20"/>
          <w:szCs w:val="20"/>
        </w:rPr>
        <w:t>It</w:t>
      </w:r>
      <w:proofErr w:type="gramEnd"/>
      <w:r w:rsidRPr="002245F0">
        <w:rPr>
          <w:b/>
          <w:bCs/>
          <w:i/>
          <w:iCs/>
          <w:sz w:val="20"/>
          <w:szCs w:val="20"/>
        </w:rPr>
        <w:t xml:space="preserve"> is proposed to consider </w:t>
      </w:r>
      <w:r>
        <w:rPr>
          <w:b/>
          <w:bCs/>
          <w:i/>
          <w:iCs/>
          <w:sz w:val="20"/>
          <w:szCs w:val="20"/>
        </w:rPr>
        <w:t>250us additional delay</w:t>
      </w:r>
      <w:r w:rsidRPr="002245F0">
        <w:rPr>
          <w:b/>
          <w:bCs/>
          <w:i/>
          <w:iCs/>
          <w:sz w:val="20"/>
          <w:szCs w:val="20"/>
        </w:rPr>
        <w:t xml:space="preserve"> </w:t>
      </w:r>
      <w:r>
        <w:rPr>
          <w:b/>
          <w:bCs/>
          <w:i/>
          <w:iCs/>
          <w:sz w:val="20"/>
          <w:szCs w:val="20"/>
        </w:rPr>
        <w:t xml:space="preserve">to accommodate </w:t>
      </w:r>
      <w:r w:rsidRPr="002245F0">
        <w:rPr>
          <w:b/>
          <w:bCs/>
          <w:i/>
          <w:iCs/>
          <w:sz w:val="20"/>
          <w:szCs w:val="20"/>
        </w:rPr>
        <w:t>potential RF and/or L1-RSRP measurement and processing constraint.</w:t>
      </w:r>
    </w:p>
    <w:p w14:paraId="6786BE60" w14:textId="2E116E83" w:rsidR="006A7B92" w:rsidRDefault="006A7B92" w:rsidP="00840D0A">
      <w:pPr>
        <w:rPr>
          <w:b/>
          <w:bCs/>
          <w:i/>
          <w:iCs/>
          <w:sz w:val="20"/>
          <w:szCs w:val="20"/>
        </w:rPr>
      </w:pPr>
      <w:r w:rsidRPr="006A7B92">
        <w:rPr>
          <w:b/>
          <w:bCs/>
          <w:i/>
          <w:iCs/>
          <w:sz w:val="20"/>
          <w:szCs w:val="20"/>
        </w:rPr>
        <w:t xml:space="preserve">Proposal </w:t>
      </w:r>
      <w:r w:rsidR="00171FDC">
        <w:rPr>
          <w:b/>
          <w:bCs/>
          <w:i/>
          <w:iCs/>
          <w:sz w:val="20"/>
          <w:szCs w:val="20"/>
        </w:rPr>
        <w:t>4</w:t>
      </w:r>
      <w:r w:rsidRPr="006A7B92">
        <w:rPr>
          <w:b/>
          <w:bCs/>
          <w:i/>
          <w:iCs/>
          <w:sz w:val="20"/>
          <w:szCs w:val="20"/>
        </w:rPr>
        <w:t>: It is proposed to discuss and decide UE behavior in case the UE does not support the two configured target TCI states simultaneously.</w:t>
      </w:r>
    </w:p>
    <w:p w14:paraId="74745D3F" w14:textId="77777777" w:rsidR="00171FDC" w:rsidRDefault="00171FDC" w:rsidP="00840D0A">
      <w:pPr>
        <w:rPr>
          <w:b/>
          <w:bCs/>
          <w:i/>
          <w:iCs/>
          <w:sz w:val="20"/>
          <w:szCs w:val="20"/>
        </w:rPr>
      </w:pPr>
    </w:p>
    <w:p w14:paraId="32B67343" w14:textId="77777777" w:rsidR="00171FDC" w:rsidRPr="001E7A2A" w:rsidRDefault="00171FDC" w:rsidP="00171FDC">
      <w:pPr>
        <w:rPr>
          <w:color w:val="000000"/>
          <w:sz w:val="20"/>
          <w:szCs w:val="20"/>
          <w:lang w:val="en-GB"/>
        </w:rPr>
      </w:pPr>
      <w:r>
        <w:rPr>
          <w:b/>
          <w:bCs/>
          <w:i/>
          <w:iCs/>
          <w:sz w:val="20"/>
          <w:szCs w:val="20"/>
        </w:rPr>
        <w:t>Proposal 5</w:t>
      </w:r>
      <w:r w:rsidRPr="004E0E90">
        <w:rPr>
          <w:b/>
          <w:bCs/>
          <w:i/>
          <w:iCs/>
          <w:sz w:val="20"/>
          <w:szCs w:val="20"/>
        </w:rPr>
        <w:t xml:space="preserve">: </w:t>
      </w:r>
      <w:r w:rsidRPr="00F35F4C">
        <w:rPr>
          <w:b/>
          <w:bCs/>
          <w:i/>
          <w:iCs/>
          <w:sz w:val="20"/>
          <w:szCs w:val="20"/>
        </w:rPr>
        <w:t xml:space="preserve">Option 2 is preferred as it gives network more flexibility to configure TCI states, </w:t>
      </w:r>
      <w:r>
        <w:rPr>
          <w:b/>
          <w:bCs/>
          <w:i/>
          <w:iCs/>
          <w:sz w:val="20"/>
          <w:szCs w:val="20"/>
        </w:rPr>
        <w:t xml:space="preserve">under the condition that </w:t>
      </w:r>
      <w:r w:rsidRPr="00F35F4C">
        <w:rPr>
          <w:b/>
          <w:bCs/>
          <w:i/>
          <w:iCs/>
          <w:sz w:val="20"/>
          <w:szCs w:val="20"/>
        </w:rPr>
        <w:t>all the RSs on the same TCI chain needs to remain detectable during TCI switching.</w:t>
      </w:r>
    </w:p>
    <w:p w14:paraId="5F68704D" w14:textId="77777777" w:rsidR="00171FDC" w:rsidRPr="00840D0A" w:rsidRDefault="00171FDC" w:rsidP="00840D0A">
      <w:pPr>
        <w:rPr>
          <w:color w:val="000000"/>
          <w:sz w:val="20"/>
          <w:szCs w:val="20"/>
          <w:lang w:val="en-GB"/>
        </w:rPr>
      </w:pPr>
    </w:p>
    <w:p w14:paraId="4D133CD8" w14:textId="4D8B9443" w:rsidR="00276EE4" w:rsidRPr="003A0483" w:rsidRDefault="005E69AE" w:rsidP="00BC4103">
      <w:pPr>
        <w:pStyle w:val="Heading1"/>
      </w:pPr>
      <w:r>
        <w:t>4</w:t>
      </w:r>
      <w:r>
        <w:tab/>
        <w:t>References</w:t>
      </w:r>
    </w:p>
    <w:bookmarkEnd w:id="0"/>
    <w:p w14:paraId="20A34B94" w14:textId="77777777" w:rsidR="00082E65" w:rsidRPr="00082E65" w:rsidRDefault="00082E65" w:rsidP="00082E65">
      <w:pPr>
        <w:pStyle w:val="EX"/>
        <w:rPr>
          <w:sz w:val="20"/>
          <w:szCs w:val="20"/>
        </w:rPr>
      </w:pPr>
      <w:r w:rsidRPr="00082E65">
        <w:rPr>
          <w:sz w:val="20"/>
          <w:szCs w:val="20"/>
        </w:rPr>
        <w:t>R4-2306319, "WF on FR2_multiRx_part2," Ericsson</w:t>
      </w:r>
    </w:p>
    <w:p w14:paraId="37ACD691" w14:textId="77777777" w:rsidR="009C49E3" w:rsidRPr="00F36DC7" w:rsidRDefault="009C49E3" w:rsidP="009C49E3">
      <w:pPr>
        <w:pStyle w:val="EX"/>
        <w:numPr>
          <w:ilvl w:val="0"/>
          <w:numId w:val="0"/>
        </w:numPr>
        <w:ind w:left="369"/>
        <w:rPr>
          <w:sz w:val="20"/>
          <w:szCs w:val="20"/>
        </w:rPr>
      </w:pPr>
    </w:p>
    <w:sectPr w:rsidR="009C49E3" w:rsidRPr="00F36DC7" w:rsidSect="00114E2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16890" w14:textId="77777777" w:rsidR="00426AAE" w:rsidRDefault="00426AAE">
      <w:r>
        <w:separator/>
      </w:r>
    </w:p>
  </w:endnote>
  <w:endnote w:type="continuationSeparator" w:id="0">
    <w:p w14:paraId="0C6AAA6F" w14:textId="77777777" w:rsidR="00426AAE" w:rsidRDefault="00426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61D18" w14:textId="77777777" w:rsidR="00F64097" w:rsidRDefault="00F640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5454F" w14:textId="77777777" w:rsidR="00F64097" w:rsidRDefault="00F640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35B2" w14:textId="77777777" w:rsidR="00F64097" w:rsidRDefault="00F64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57FD4" w14:textId="77777777" w:rsidR="00426AAE" w:rsidRDefault="00426AAE">
      <w:r>
        <w:separator/>
      </w:r>
    </w:p>
  </w:footnote>
  <w:footnote w:type="continuationSeparator" w:id="0">
    <w:p w14:paraId="0D9ABA15" w14:textId="77777777" w:rsidR="00426AAE" w:rsidRDefault="00426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0D585" w14:textId="77777777" w:rsidR="00F64097" w:rsidRDefault="00F640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F882C" w14:textId="77777777" w:rsidR="00F64097" w:rsidRDefault="00F640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31631"/>
    <w:multiLevelType w:val="hybridMultilevel"/>
    <w:tmpl w:val="32122DF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1E0858D1"/>
    <w:multiLevelType w:val="hybridMultilevel"/>
    <w:tmpl w:val="3BC6A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AC236B"/>
    <w:multiLevelType w:val="hybridMultilevel"/>
    <w:tmpl w:val="CB9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267C66"/>
    <w:multiLevelType w:val="hybridMultilevel"/>
    <w:tmpl w:val="600AE5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7D07DA"/>
    <w:multiLevelType w:val="hybridMultilevel"/>
    <w:tmpl w:val="CE06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710814"/>
    <w:multiLevelType w:val="hybridMultilevel"/>
    <w:tmpl w:val="504A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4"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A0F701C"/>
    <w:multiLevelType w:val="hybridMultilevel"/>
    <w:tmpl w:val="408CA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0"/>
  </w:num>
  <w:num w:numId="5" w16cid:durableId="1501116029">
    <w:abstractNumId w:val="3"/>
  </w:num>
  <w:num w:numId="6" w16cid:durableId="1775780724">
    <w:abstractNumId w:val="3"/>
  </w:num>
  <w:num w:numId="7" w16cid:durableId="2004430155">
    <w:abstractNumId w:val="24"/>
  </w:num>
  <w:num w:numId="8" w16cid:durableId="820000239">
    <w:abstractNumId w:val="6"/>
  </w:num>
  <w:num w:numId="9" w16cid:durableId="1418207271">
    <w:abstractNumId w:val="29"/>
  </w:num>
  <w:num w:numId="10" w16cid:durableId="1583371418">
    <w:abstractNumId w:val="37"/>
  </w:num>
  <w:num w:numId="11" w16cid:durableId="654532386">
    <w:abstractNumId w:val="15"/>
  </w:num>
  <w:num w:numId="12" w16cid:durableId="1304584639">
    <w:abstractNumId w:val="12"/>
  </w:num>
  <w:num w:numId="13" w16cid:durableId="721171787">
    <w:abstractNumId w:val="10"/>
  </w:num>
  <w:num w:numId="14" w16cid:durableId="1592349769">
    <w:abstractNumId w:val="36"/>
  </w:num>
  <w:num w:numId="15" w16cid:durableId="278998918">
    <w:abstractNumId w:val="20"/>
  </w:num>
  <w:num w:numId="16" w16cid:durableId="434713335">
    <w:abstractNumId w:val="33"/>
  </w:num>
  <w:num w:numId="17" w16cid:durableId="1786650561">
    <w:abstractNumId w:val="21"/>
  </w:num>
  <w:num w:numId="18" w16cid:durableId="119229966">
    <w:abstractNumId w:val="7"/>
  </w:num>
  <w:num w:numId="19" w16cid:durableId="773282714">
    <w:abstractNumId w:val="27"/>
  </w:num>
  <w:num w:numId="20" w16cid:durableId="1943295931">
    <w:abstractNumId w:val="1"/>
  </w:num>
  <w:num w:numId="21" w16cid:durableId="721640857">
    <w:abstractNumId w:val="45"/>
  </w:num>
  <w:num w:numId="22" w16cid:durableId="1167212164">
    <w:abstractNumId w:val="46"/>
  </w:num>
  <w:num w:numId="23" w16cid:durableId="240023206">
    <w:abstractNumId w:val="28"/>
  </w:num>
  <w:num w:numId="24" w16cid:durableId="191648044">
    <w:abstractNumId w:val="14"/>
  </w:num>
  <w:num w:numId="25" w16cid:durableId="473066965">
    <w:abstractNumId w:val="25"/>
  </w:num>
  <w:num w:numId="26" w16cid:durableId="1489638411">
    <w:abstractNumId w:val="23"/>
  </w:num>
  <w:num w:numId="27" w16cid:durableId="1422525457">
    <w:abstractNumId w:val="22"/>
  </w:num>
  <w:num w:numId="28" w16cid:durableId="653946618">
    <w:abstractNumId w:val="4"/>
  </w:num>
  <w:num w:numId="29" w16cid:durableId="1543327048">
    <w:abstractNumId w:val="48"/>
  </w:num>
  <w:num w:numId="30" w16cid:durableId="991716118">
    <w:abstractNumId w:val="16"/>
  </w:num>
  <w:num w:numId="31" w16cid:durableId="737675157">
    <w:abstractNumId w:val="18"/>
  </w:num>
  <w:num w:numId="32" w16cid:durableId="526335178">
    <w:abstractNumId w:val="11"/>
  </w:num>
  <w:num w:numId="33" w16cid:durableId="1432161911">
    <w:abstractNumId w:val="5"/>
  </w:num>
  <w:num w:numId="34" w16cid:durableId="463815305">
    <w:abstractNumId w:val="32"/>
  </w:num>
  <w:num w:numId="35" w16cid:durableId="1451046251">
    <w:abstractNumId w:val="44"/>
  </w:num>
  <w:num w:numId="36" w16cid:durableId="1500928002">
    <w:abstractNumId w:val="34"/>
  </w:num>
  <w:num w:numId="37" w16cid:durableId="481117822">
    <w:abstractNumId w:val="13"/>
  </w:num>
  <w:num w:numId="38" w16cid:durableId="1328439027">
    <w:abstractNumId w:val="38"/>
  </w:num>
  <w:num w:numId="39" w16cid:durableId="1341740826">
    <w:abstractNumId w:val="31"/>
  </w:num>
  <w:num w:numId="40" w16cid:durableId="1537429877">
    <w:abstractNumId w:val="43"/>
  </w:num>
  <w:num w:numId="41" w16cid:durableId="302203300">
    <w:abstractNumId w:val="49"/>
  </w:num>
  <w:num w:numId="42" w16cid:durableId="381712461">
    <w:abstractNumId w:val="19"/>
  </w:num>
  <w:num w:numId="43" w16cid:durableId="1108353740">
    <w:abstractNumId w:val="17"/>
  </w:num>
  <w:num w:numId="44" w16cid:durableId="912857868">
    <w:abstractNumId w:val="26"/>
  </w:num>
  <w:num w:numId="45" w16cid:durableId="1358585767">
    <w:abstractNumId w:val="30"/>
  </w:num>
  <w:num w:numId="46" w16cid:durableId="596602009">
    <w:abstractNumId w:val="41"/>
  </w:num>
  <w:num w:numId="47" w16cid:durableId="736827667">
    <w:abstractNumId w:val="9"/>
  </w:num>
  <w:num w:numId="48" w16cid:durableId="704595738">
    <w:abstractNumId w:val="42"/>
  </w:num>
  <w:num w:numId="49" w16cid:durableId="1945575566">
    <w:abstractNumId w:val="8"/>
  </w:num>
  <w:num w:numId="50" w16cid:durableId="1385643258">
    <w:abstractNumId w:val="47"/>
  </w:num>
  <w:num w:numId="51" w16cid:durableId="297734826">
    <w:abstractNumId w:val="39"/>
  </w:num>
  <w:num w:numId="52" w16cid:durableId="62627403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06869"/>
    <w:rsid w:val="00011C66"/>
    <w:rsid w:val="000129A5"/>
    <w:rsid w:val="00012A37"/>
    <w:rsid w:val="0001496E"/>
    <w:rsid w:val="000262F6"/>
    <w:rsid w:val="00026BD3"/>
    <w:rsid w:val="00033397"/>
    <w:rsid w:val="00040095"/>
    <w:rsid w:val="000438C2"/>
    <w:rsid w:val="00046768"/>
    <w:rsid w:val="0004681A"/>
    <w:rsid w:val="00051834"/>
    <w:rsid w:val="0005477E"/>
    <w:rsid w:val="00054A22"/>
    <w:rsid w:val="00056AE1"/>
    <w:rsid w:val="00062023"/>
    <w:rsid w:val="000655A6"/>
    <w:rsid w:val="00071312"/>
    <w:rsid w:val="00077697"/>
    <w:rsid w:val="00080512"/>
    <w:rsid w:val="00082E65"/>
    <w:rsid w:val="00083414"/>
    <w:rsid w:val="00092DEA"/>
    <w:rsid w:val="0009500A"/>
    <w:rsid w:val="00096CD8"/>
    <w:rsid w:val="000A365D"/>
    <w:rsid w:val="000A46CB"/>
    <w:rsid w:val="000A68F3"/>
    <w:rsid w:val="000B4E6A"/>
    <w:rsid w:val="000B7599"/>
    <w:rsid w:val="000C1B24"/>
    <w:rsid w:val="000C47C3"/>
    <w:rsid w:val="000C59B4"/>
    <w:rsid w:val="000C7FB6"/>
    <w:rsid w:val="000D02FD"/>
    <w:rsid w:val="000D2AB6"/>
    <w:rsid w:val="000D2C4B"/>
    <w:rsid w:val="000D58AB"/>
    <w:rsid w:val="000D7D1B"/>
    <w:rsid w:val="000E3702"/>
    <w:rsid w:val="000F032B"/>
    <w:rsid w:val="000F1A79"/>
    <w:rsid w:val="000F1D2A"/>
    <w:rsid w:val="000F3400"/>
    <w:rsid w:val="000F413D"/>
    <w:rsid w:val="000F42F7"/>
    <w:rsid w:val="000F4BE8"/>
    <w:rsid w:val="000F5499"/>
    <w:rsid w:val="000F5D71"/>
    <w:rsid w:val="001016B4"/>
    <w:rsid w:val="00101EB9"/>
    <w:rsid w:val="00104836"/>
    <w:rsid w:val="00104BC6"/>
    <w:rsid w:val="00112A20"/>
    <w:rsid w:val="00112D80"/>
    <w:rsid w:val="00114E2C"/>
    <w:rsid w:val="00123B8A"/>
    <w:rsid w:val="00126F3E"/>
    <w:rsid w:val="00133525"/>
    <w:rsid w:val="00133ED8"/>
    <w:rsid w:val="001343AB"/>
    <w:rsid w:val="00134E23"/>
    <w:rsid w:val="00152010"/>
    <w:rsid w:val="0015223A"/>
    <w:rsid w:val="0015240F"/>
    <w:rsid w:val="001529BF"/>
    <w:rsid w:val="001549F2"/>
    <w:rsid w:val="001620A7"/>
    <w:rsid w:val="00162A8A"/>
    <w:rsid w:val="00165302"/>
    <w:rsid w:val="00167A77"/>
    <w:rsid w:val="00171166"/>
    <w:rsid w:val="00171FDC"/>
    <w:rsid w:val="00180632"/>
    <w:rsid w:val="00182F98"/>
    <w:rsid w:val="00186EF5"/>
    <w:rsid w:val="0019040A"/>
    <w:rsid w:val="00191964"/>
    <w:rsid w:val="00193F04"/>
    <w:rsid w:val="001A1513"/>
    <w:rsid w:val="001A3AAC"/>
    <w:rsid w:val="001A4C42"/>
    <w:rsid w:val="001B2337"/>
    <w:rsid w:val="001C21C3"/>
    <w:rsid w:val="001C7CD8"/>
    <w:rsid w:val="001D02C2"/>
    <w:rsid w:val="001D3883"/>
    <w:rsid w:val="001D506F"/>
    <w:rsid w:val="001E2CFB"/>
    <w:rsid w:val="001E66CA"/>
    <w:rsid w:val="001E6A20"/>
    <w:rsid w:val="001E72C3"/>
    <w:rsid w:val="001E7A2A"/>
    <w:rsid w:val="001F0C1D"/>
    <w:rsid w:val="001F1132"/>
    <w:rsid w:val="001F168B"/>
    <w:rsid w:val="001F40CB"/>
    <w:rsid w:val="001F6F65"/>
    <w:rsid w:val="00200761"/>
    <w:rsid w:val="00210943"/>
    <w:rsid w:val="00211302"/>
    <w:rsid w:val="002117BB"/>
    <w:rsid w:val="00220BF3"/>
    <w:rsid w:val="00223D34"/>
    <w:rsid w:val="00223E60"/>
    <w:rsid w:val="002245F0"/>
    <w:rsid w:val="00225E3F"/>
    <w:rsid w:val="00230C9B"/>
    <w:rsid w:val="002347A2"/>
    <w:rsid w:val="00235941"/>
    <w:rsid w:val="0023723C"/>
    <w:rsid w:val="002419B9"/>
    <w:rsid w:val="002419C4"/>
    <w:rsid w:val="00244A1B"/>
    <w:rsid w:val="00247926"/>
    <w:rsid w:val="0025067B"/>
    <w:rsid w:val="00253687"/>
    <w:rsid w:val="00254E0F"/>
    <w:rsid w:val="00255247"/>
    <w:rsid w:val="002557C8"/>
    <w:rsid w:val="002600B9"/>
    <w:rsid w:val="00261DE3"/>
    <w:rsid w:val="00262167"/>
    <w:rsid w:val="002654F1"/>
    <w:rsid w:val="002675F0"/>
    <w:rsid w:val="00276EE4"/>
    <w:rsid w:val="0027751B"/>
    <w:rsid w:val="00285890"/>
    <w:rsid w:val="002868F0"/>
    <w:rsid w:val="00287B8F"/>
    <w:rsid w:val="00292CBB"/>
    <w:rsid w:val="002935D4"/>
    <w:rsid w:val="00294DDA"/>
    <w:rsid w:val="002A5644"/>
    <w:rsid w:val="002B2D3F"/>
    <w:rsid w:val="002B378B"/>
    <w:rsid w:val="002B3DDB"/>
    <w:rsid w:val="002B6339"/>
    <w:rsid w:val="002C4ECD"/>
    <w:rsid w:val="002D16F1"/>
    <w:rsid w:val="002D22D9"/>
    <w:rsid w:val="002D56F3"/>
    <w:rsid w:val="002D7E93"/>
    <w:rsid w:val="002E0086"/>
    <w:rsid w:val="002E00EE"/>
    <w:rsid w:val="002E1F9D"/>
    <w:rsid w:val="002F0E0C"/>
    <w:rsid w:val="002F21F4"/>
    <w:rsid w:val="002F5216"/>
    <w:rsid w:val="00300ACF"/>
    <w:rsid w:val="00300BA9"/>
    <w:rsid w:val="00301868"/>
    <w:rsid w:val="00303F37"/>
    <w:rsid w:val="00307031"/>
    <w:rsid w:val="00312BF7"/>
    <w:rsid w:val="00313A57"/>
    <w:rsid w:val="00315B08"/>
    <w:rsid w:val="003172DC"/>
    <w:rsid w:val="003242B5"/>
    <w:rsid w:val="003267D7"/>
    <w:rsid w:val="003348D2"/>
    <w:rsid w:val="003358E2"/>
    <w:rsid w:val="0033606D"/>
    <w:rsid w:val="00336438"/>
    <w:rsid w:val="003378AE"/>
    <w:rsid w:val="00337B72"/>
    <w:rsid w:val="003402C9"/>
    <w:rsid w:val="0034052F"/>
    <w:rsid w:val="00340CDF"/>
    <w:rsid w:val="0034273B"/>
    <w:rsid w:val="00345425"/>
    <w:rsid w:val="0034735C"/>
    <w:rsid w:val="00350433"/>
    <w:rsid w:val="003523D8"/>
    <w:rsid w:val="00352816"/>
    <w:rsid w:val="00353C63"/>
    <w:rsid w:val="0035462D"/>
    <w:rsid w:val="00357075"/>
    <w:rsid w:val="00361D93"/>
    <w:rsid w:val="00363C61"/>
    <w:rsid w:val="003650C3"/>
    <w:rsid w:val="0036620E"/>
    <w:rsid w:val="003671B1"/>
    <w:rsid w:val="00370A9A"/>
    <w:rsid w:val="00371558"/>
    <w:rsid w:val="00371B59"/>
    <w:rsid w:val="0037264F"/>
    <w:rsid w:val="003736FD"/>
    <w:rsid w:val="003744F9"/>
    <w:rsid w:val="003765B8"/>
    <w:rsid w:val="003844E2"/>
    <w:rsid w:val="00384F83"/>
    <w:rsid w:val="00392BEA"/>
    <w:rsid w:val="003A0483"/>
    <w:rsid w:val="003A706D"/>
    <w:rsid w:val="003B0393"/>
    <w:rsid w:val="003B4652"/>
    <w:rsid w:val="003C3971"/>
    <w:rsid w:val="003C4D69"/>
    <w:rsid w:val="003C561B"/>
    <w:rsid w:val="003D37E2"/>
    <w:rsid w:val="003D4522"/>
    <w:rsid w:val="003E2C78"/>
    <w:rsid w:val="003E70FA"/>
    <w:rsid w:val="003E7753"/>
    <w:rsid w:val="003F07E3"/>
    <w:rsid w:val="003F5675"/>
    <w:rsid w:val="003F6793"/>
    <w:rsid w:val="00400308"/>
    <w:rsid w:val="0040110C"/>
    <w:rsid w:val="00406636"/>
    <w:rsid w:val="0041089F"/>
    <w:rsid w:val="00410E46"/>
    <w:rsid w:val="00412687"/>
    <w:rsid w:val="004231E2"/>
    <w:rsid w:val="00423334"/>
    <w:rsid w:val="00424397"/>
    <w:rsid w:val="0042668D"/>
    <w:rsid w:val="00426AAE"/>
    <w:rsid w:val="00430001"/>
    <w:rsid w:val="004345EC"/>
    <w:rsid w:val="00435B44"/>
    <w:rsid w:val="004406A5"/>
    <w:rsid w:val="00442E80"/>
    <w:rsid w:val="00443B1F"/>
    <w:rsid w:val="00445952"/>
    <w:rsid w:val="00447B7C"/>
    <w:rsid w:val="00447E12"/>
    <w:rsid w:val="0045245B"/>
    <w:rsid w:val="00472C04"/>
    <w:rsid w:val="004735B3"/>
    <w:rsid w:val="0048182A"/>
    <w:rsid w:val="004826A9"/>
    <w:rsid w:val="004837BD"/>
    <w:rsid w:val="00494804"/>
    <w:rsid w:val="004A066A"/>
    <w:rsid w:val="004A603D"/>
    <w:rsid w:val="004A6B02"/>
    <w:rsid w:val="004B0ECB"/>
    <w:rsid w:val="004C1601"/>
    <w:rsid w:val="004C21DF"/>
    <w:rsid w:val="004C5265"/>
    <w:rsid w:val="004C554E"/>
    <w:rsid w:val="004D3578"/>
    <w:rsid w:val="004D7E14"/>
    <w:rsid w:val="004E0E90"/>
    <w:rsid w:val="004E213A"/>
    <w:rsid w:val="004E39A2"/>
    <w:rsid w:val="004E3C97"/>
    <w:rsid w:val="004E7F50"/>
    <w:rsid w:val="004F07FD"/>
    <w:rsid w:val="004F0988"/>
    <w:rsid w:val="004F279C"/>
    <w:rsid w:val="004F3340"/>
    <w:rsid w:val="004F3E3D"/>
    <w:rsid w:val="004F46DD"/>
    <w:rsid w:val="004F6220"/>
    <w:rsid w:val="00503000"/>
    <w:rsid w:val="005032A8"/>
    <w:rsid w:val="005037D3"/>
    <w:rsid w:val="00506787"/>
    <w:rsid w:val="0051004D"/>
    <w:rsid w:val="005157F0"/>
    <w:rsid w:val="00520120"/>
    <w:rsid w:val="005204B4"/>
    <w:rsid w:val="005208B7"/>
    <w:rsid w:val="0052244D"/>
    <w:rsid w:val="005273BE"/>
    <w:rsid w:val="005324C2"/>
    <w:rsid w:val="0053388B"/>
    <w:rsid w:val="00535773"/>
    <w:rsid w:val="00537C54"/>
    <w:rsid w:val="00542052"/>
    <w:rsid w:val="00543E6C"/>
    <w:rsid w:val="00551342"/>
    <w:rsid w:val="00554CE1"/>
    <w:rsid w:val="00555534"/>
    <w:rsid w:val="0056039A"/>
    <w:rsid w:val="0056116C"/>
    <w:rsid w:val="00562380"/>
    <w:rsid w:val="00562844"/>
    <w:rsid w:val="00564A23"/>
    <w:rsid w:val="00565087"/>
    <w:rsid w:val="0057261C"/>
    <w:rsid w:val="00572E14"/>
    <w:rsid w:val="00582450"/>
    <w:rsid w:val="00591E7E"/>
    <w:rsid w:val="005930E6"/>
    <w:rsid w:val="00596172"/>
    <w:rsid w:val="005973BE"/>
    <w:rsid w:val="005A5986"/>
    <w:rsid w:val="005B1F1B"/>
    <w:rsid w:val="005B365D"/>
    <w:rsid w:val="005B3CCF"/>
    <w:rsid w:val="005B6DD9"/>
    <w:rsid w:val="005C2A4F"/>
    <w:rsid w:val="005C4000"/>
    <w:rsid w:val="005C422A"/>
    <w:rsid w:val="005D0DD2"/>
    <w:rsid w:val="005D2E01"/>
    <w:rsid w:val="005D67FC"/>
    <w:rsid w:val="005D7526"/>
    <w:rsid w:val="005D78A9"/>
    <w:rsid w:val="005E683B"/>
    <w:rsid w:val="005E69AE"/>
    <w:rsid w:val="005F4B4C"/>
    <w:rsid w:val="005F4CDD"/>
    <w:rsid w:val="005F5B2B"/>
    <w:rsid w:val="005F6269"/>
    <w:rsid w:val="00602AEA"/>
    <w:rsid w:val="00607E3C"/>
    <w:rsid w:val="00614FDF"/>
    <w:rsid w:val="0061775C"/>
    <w:rsid w:val="00617ED4"/>
    <w:rsid w:val="00623C82"/>
    <w:rsid w:val="006246A7"/>
    <w:rsid w:val="0062595A"/>
    <w:rsid w:val="00632B45"/>
    <w:rsid w:val="006343D6"/>
    <w:rsid w:val="0063543D"/>
    <w:rsid w:val="00640CF9"/>
    <w:rsid w:val="006459B5"/>
    <w:rsid w:val="00647114"/>
    <w:rsid w:val="0065563F"/>
    <w:rsid w:val="00662A4B"/>
    <w:rsid w:val="0066731C"/>
    <w:rsid w:val="00670349"/>
    <w:rsid w:val="006753FB"/>
    <w:rsid w:val="006759E6"/>
    <w:rsid w:val="00685171"/>
    <w:rsid w:val="006A0145"/>
    <w:rsid w:val="006A016F"/>
    <w:rsid w:val="006A0912"/>
    <w:rsid w:val="006A323F"/>
    <w:rsid w:val="006A7B92"/>
    <w:rsid w:val="006B30D0"/>
    <w:rsid w:val="006C0730"/>
    <w:rsid w:val="006C0AD3"/>
    <w:rsid w:val="006C14A4"/>
    <w:rsid w:val="006C3D95"/>
    <w:rsid w:val="006C79D3"/>
    <w:rsid w:val="006D1E99"/>
    <w:rsid w:val="006D67E7"/>
    <w:rsid w:val="006D73BB"/>
    <w:rsid w:val="006E2A42"/>
    <w:rsid w:val="006E3141"/>
    <w:rsid w:val="006E5C86"/>
    <w:rsid w:val="006F71F4"/>
    <w:rsid w:val="00700EBB"/>
    <w:rsid w:val="00703E3B"/>
    <w:rsid w:val="00705538"/>
    <w:rsid w:val="007059D9"/>
    <w:rsid w:val="007060EB"/>
    <w:rsid w:val="00713C44"/>
    <w:rsid w:val="00723A44"/>
    <w:rsid w:val="00724E0C"/>
    <w:rsid w:val="00725B40"/>
    <w:rsid w:val="00726A73"/>
    <w:rsid w:val="00734A5B"/>
    <w:rsid w:val="0074026F"/>
    <w:rsid w:val="007420D3"/>
    <w:rsid w:val="007429F6"/>
    <w:rsid w:val="00742A9C"/>
    <w:rsid w:val="00742B5A"/>
    <w:rsid w:val="00744E76"/>
    <w:rsid w:val="00752198"/>
    <w:rsid w:val="00753881"/>
    <w:rsid w:val="007577D5"/>
    <w:rsid w:val="00761266"/>
    <w:rsid w:val="007615CA"/>
    <w:rsid w:val="00762483"/>
    <w:rsid w:val="0077432F"/>
    <w:rsid w:val="00774DA4"/>
    <w:rsid w:val="00775195"/>
    <w:rsid w:val="00781F0F"/>
    <w:rsid w:val="007851C1"/>
    <w:rsid w:val="00786D37"/>
    <w:rsid w:val="00791110"/>
    <w:rsid w:val="00791FEE"/>
    <w:rsid w:val="007A0E59"/>
    <w:rsid w:val="007B2F1E"/>
    <w:rsid w:val="007B462B"/>
    <w:rsid w:val="007B600E"/>
    <w:rsid w:val="007C4A4E"/>
    <w:rsid w:val="007C7A1D"/>
    <w:rsid w:val="007D48CC"/>
    <w:rsid w:val="007D5172"/>
    <w:rsid w:val="007D53B3"/>
    <w:rsid w:val="007D5A1C"/>
    <w:rsid w:val="007D7D88"/>
    <w:rsid w:val="007E2E4B"/>
    <w:rsid w:val="007E6293"/>
    <w:rsid w:val="007E7899"/>
    <w:rsid w:val="007F0AED"/>
    <w:rsid w:val="007F0F4A"/>
    <w:rsid w:val="007F708E"/>
    <w:rsid w:val="008028A4"/>
    <w:rsid w:val="008038C2"/>
    <w:rsid w:val="00805370"/>
    <w:rsid w:val="00810E8D"/>
    <w:rsid w:val="00820B25"/>
    <w:rsid w:val="00820E0F"/>
    <w:rsid w:val="00821AEF"/>
    <w:rsid w:val="00823989"/>
    <w:rsid w:val="00826E3B"/>
    <w:rsid w:val="008276AC"/>
    <w:rsid w:val="00830747"/>
    <w:rsid w:val="00831714"/>
    <w:rsid w:val="00833062"/>
    <w:rsid w:val="00833358"/>
    <w:rsid w:val="008340FF"/>
    <w:rsid w:val="008366FC"/>
    <w:rsid w:val="0083729B"/>
    <w:rsid w:val="00840D0A"/>
    <w:rsid w:val="00841896"/>
    <w:rsid w:val="0084389E"/>
    <w:rsid w:val="00843B15"/>
    <w:rsid w:val="008478EC"/>
    <w:rsid w:val="008559EF"/>
    <w:rsid w:val="008569D0"/>
    <w:rsid w:val="008610F3"/>
    <w:rsid w:val="00863A2E"/>
    <w:rsid w:val="00871DFA"/>
    <w:rsid w:val="008768CA"/>
    <w:rsid w:val="00881283"/>
    <w:rsid w:val="0088159C"/>
    <w:rsid w:val="008826B0"/>
    <w:rsid w:val="00884853"/>
    <w:rsid w:val="008A24DA"/>
    <w:rsid w:val="008A54F8"/>
    <w:rsid w:val="008A5EFF"/>
    <w:rsid w:val="008B2D3A"/>
    <w:rsid w:val="008C1634"/>
    <w:rsid w:val="008C384C"/>
    <w:rsid w:val="008C4A39"/>
    <w:rsid w:val="008C79C3"/>
    <w:rsid w:val="008D3F18"/>
    <w:rsid w:val="008E112D"/>
    <w:rsid w:val="008E3812"/>
    <w:rsid w:val="008E734D"/>
    <w:rsid w:val="008E7986"/>
    <w:rsid w:val="008F0C79"/>
    <w:rsid w:val="008F15A3"/>
    <w:rsid w:val="008F373C"/>
    <w:rsid w:val="0090271F"/>
    <w:rsid w:val="00902E23"/>
    <w:rsid w:val="009073D6"/>
    <w:rsid w:val="00910D9E"/>
    <w:rsid w:val="00911016"/>
    <w:rsid w:val="009114D7"/>
    <w:rsid w:val="009125EF"/>
    <w:rsid w:val="0091348E"/>
    <w:rsid w:val="00915D75"/>
    <w:rsid w:val="00917398"/>
    <w:rsid w:val="00917CCB"/>
    <w:rsid w:val="00924DAC"/>
    <w:rsid w:val="00926F97"/>
    <w:rsid w:val="0093011A"/>
    <w:rsid w:val="0093257B"/>
    <w:rsid w:val="00935B71"/>
    <w:rsid w:val="009426F4"/>
    <w:rsid w:val="00942EC2"/>
    <w:rsid w:val="00947ADF"/>
    <w:rsid w:val="00947F73"/>
    <w:rsid w:val="00952E10"/>
    <w:rsid w:val="00954463"/>
    <w:rsid w:val="009545A1"/>
    <w:rsid w:val="00963F84"/>
    <w:rsid w:val="00965F6D"/>
    <w:rsid w:val="00970201"/>
    <w:rsid w:val="009750A6"/>
    <w:rsid w:val="009876B4"/>
    <w:rsid w:val="00991277"/>
    <w:rsid w:val="00991C1A"/>
    <w:rsid w:val="00995869"/>
    <w:rsid w:val="009A5FB3"/>
    <w:rsid w:val="009A758A"/>
    <w:rsid w:val="009B54B4"/>
    <w:rsid w:val="009C2C1B"/>
    <w:rsid w:val="009C412B"/>
    <w:rsid w:val="009C47B5"/>
    <w:rsid w:val="009C49E3"/>
    <w:rsid w:val="009D55F3"/>
    <w:rsid w:val="009D76DA"/>
    <w:rsid w:val="009E4AB1"/>
    <w:rsid w:val="009F237D"/>
    <w:rsid w:val="009F2B49"/>
    <w:rsid w:val="009F2F14"/>
    <w:rsid w:val="009F37B7"/>
    <w:rsid w:val="009F4887"/>
    <w:rsid w:val="009F5E43"/>
    <w:rsid w:val="00A03460"/>
    <w:rsid w:val="00A0420C"/>
    <w:rsid w:val="00A051F0"/>
    <w:rsid w:val="00A07446"/>
    <w:rsid w:val="00A10F02"/>
    <w:rsid w:val="00A164B4"/>
    <w:rsid w:val="00A22938"/>
    <w:rsid w:val="00A255D6"/>
    <w:rsid w:val="00A26956"/>
    <w:rsid w:val="00A33E80"/>
    <w:rsid w:val="00A37271"/>
    <w:rsid w:val="00A378DF"/>
    <w:rsid w:val="00A41A75"/>
    <w:rsid w:val="00A41D34"/>
    <w:rsid w:val="00A42368"/>
    <w:rsid w:val="00A4303F"/>
    <w:rsid w:val="00A47362"/>
    <w:rsid w:val="00A53724"/>
    <w:rsid w:val="00A5526E"/>
    <w:rsid w:val="00A56831"/>
    <w:rsid w:val="00A66A04"/>
    <w:rsid w:val="00A72D2D"/>
    <w:rsid w:val="00A73129"/>
    <w:rsid w:val="00A74818"/>
    <w:rsid w:val="00A75C35"/>
    <w:rsid w:val="00A76978"/>
    <w:rsid w:val="00A76AAC"/>
    <w:rsid w:val="00A82039"/>
    <w:rsid w:val="00A82346"/>
    <w:rsid w:val="00A82D1F"/>
    <w:rsid w:val="00A84B1E"/>
    <w:rsid w:val="00A8668F"/>
    <w:rsid w:val="00A9153E"/>
    <w:rsid w:val="00A91EAD"/>
    <w:rsid w:val="00A92BA1"/>
    <w:rsid w:val="00A951A7"/>
    <w:rsid w:val="00AB1ED1"/>
    <w:rsid w:val="00AB798F"/>
    <w:rsid w:val="00AB7F3B"/>
    <w:rsid w:val="00AC0039"/>
    <w:rsid w:val="00AC090B"/>
    <w:rsid w:val="00AC1040"/>
    <w:rsid w:val="00AC135F"/>
    <w:rsid w:val="00AC336B"/>
    <w:rsid w:val="00AC54B7"/>
    <w:rsid w:val="00AC6BC6"/>
    <w:rsid w:val="00AD2973"/>
    <w:rsid w:val="00AD47EE"/>
    <w:rsid w:val="00AD5DD7"/>
    <w:rsid w:val="00AE361D"/>
    <w:rsid w:val="00AE3797"/>
    <w:rsid w:val="00AE5821"/>
    <w:rsid w:val="00AE6124"/>
    <w:rsid w:val="00AF36D6"/>
    <w:rsid w:val="00AF3AA9"/>
    <w:rsid w:val="00AF4359"/>
    <w:rsid w:val="00AF4FE2"/>
    <w:rsid w:val="00AF5752"/>
    <w:rsid w:val="00AF76EA"/>
    <w:rsid w:val="00B0107E"/>
    <w:rsid w:val="00B03FD0"/>
    <w:rsid w:val="00B06539"/>
    <w:rsid w:val="00B10171"/>
    <w:rsid w:val="00B15449"/>
    <w:rsid w:val="00B16019"/>
    <w:rsid w:val="00B211C1"/>
    <w:rsid w:val="00B27217"/>
    <w:rsid w:val="00B27C15"/>
    <w:rsid w:val="00B32270"/>
    <w:rsid w:val="00B32B3E"/>
    <w:rsid w:val="00B3654C"/>
    <w:rsid w:val="00B376BF"/>
    <w:rsid w:val="00B43A3F"/>
    <w:rsid w:val="00B44E1F"/>
    <w:rsid w:val="00B4615A"/>
    <w:rsid w:val="00B60B51"/>
    <w:rsid w:val="00B61EEA"/>
    <w:rsid w:val="00B620CD"/>
    <w:rsid w:val="00B6233A"/>
    <w:rsid w:val="00B62DE3"/>
    <w:rsid w:val="00B64997"/>
    <w:rsid w:val="00B72D88"/>
    <w:rsid w:val="00B763CA"/>
    <w:rsid w:val="00B774BF"/>
    <w:rsid w:val="00B83171"/>
    <w:rsid w:val="00B838F7"/>
    <w:rsid w:val="00B8462F"/>
    <w:rsid w:val="00B85F36"/>
    <w:rsid w:val="00B913A1"/>
    <w:rsid w:val="00B93086"/>
    <w:rsid w:val="00B97E50"/>
    <w:rsid w:val="00BA19ED"/>
    <w:rsid w:val="00BA300B"/>
    <w:rsid w:val="00BA45FB"/>
    <w:rsid w:val="00BA4B8D"/>
    <w:rsid w:val="00BA59E2"/>
    <w:rsid w:val="00BA7900"/>
    <w:rsid w:val="00BB372C"/>
    <w:rsid w:val="00BB500C"/>
    <w:rsid w:val="00BC0F7D"/>
    <w:rsid w:val="00BC18F8"/>
    <w:rsid w:val="00BC4103"/>
    <w:rsid w:val="00BD69DB"/>
    <w:rsid w:val="00BE2A72"/>
    <w:rsid w:val="00BE3255"/>
    <w:rsid w:val="00BE3B9C"/>
    <w:rsid w:val="00BE5B23"/>
    <w:rsid w:val="00BF128E"/>
    <w:rsid w:val="00BF1E1E"/>
    <w:rsid w:val="00C02C5C"/>
    <w:rsid w:val="00C054B3"/>
    <w:rsid w:val="00C056AE"/>
    <w:rsid w:val="00C1496A"/>
    <w:rsid w:val="00C15F7F"/>
    <w:rsid w:val="00C163A6"/>
    <w:rsid w:val="00C2281E"/>
    <w:rsid w:val="00C23CE1"/>
    <w:rsid w:val="00C23FA3"/>
    <w:rsid w:val="00C24837"/>
    <w:rsid w:val="00C26810"/>
    <w:rsid w:val="00C273CF"/>
    <w:rsid w:val="00C30D9E"/>
    <w:rsid w:val="00C33079"/>
    <w:rsid w:val="00C34DDA"/>
    <w:rsid w:val="00C353F4"/>
    <w:rsid w:val="00C43765"/>
    <w:rsid w:val="00C45231"/>
    <w:rsid w:val="00C63D49"/>
    <w:rsid w:val="00C657BF"/>
    <w:rsid w:val="00C66439"/>
    <w:rsid w:val="00C72833"/>
    <w:rsid w:val="00C75869"/>
    <w:rsid w:val="00C7616D"/>
    <w:rsid w:val="00C80F1D"/>
    <w:rsid w:val="00C82174"/>
    <w:rsid w:val="00C83BD4"/>
    <w:rsid w:val="00C93F40"/>
    <w:rsid w:val="00C95679"/>
    <w:rsid w:val="00C9693D"/>
    <w:rsid w:val="00C969B2"/>
    <w:rsid w:val="00CA3D0C"/>
    <w:rsid w:val="00CA60C9"/>
    <w:rsid w:val="00CA7102"/>
    <w:rsid w:val="00CB445C"/>
    <w:rsid w:val="00CB4F7A"/>
    <w:rsid w:val="00CB51CC"/>
    <w:rsid w:val="00CB727F"/>
    <w:rsid w:val="00CC4C9A"/>
    <w:rsid w:val="00CC59FA"/>
    <w:rsid w:val="00CC742A"/>
    <w:rsid w:val="00CC76A9"/>
    <w:rsid w:val="00CD0EA6"/>
    <w:rsid w:val="00CD45C9"/>
    <w:rsid w:val="00CD655A"/>
    <w:rsid w:val="00CE076D"/>
    <w:rsid w:val="00CE4C40"/>
    <w:rsid w:val="00CF0171"/>
    <w:rsid w:val="00CF20E3"/>
    <w:rsid w:val="00CF78DE"/>
    <w:rsid w:val="00D008D3"/>
    <w:rsid w:val="00D031B0"/>
    <w:rsid w:val="00D04514"/>
    <w:rsid w:val="00D05632"/>
    <w:rsid w:val="00D074E7"/>
    <w:rsid w:val="00D07C26"/>
    <w:rsid w:val="00D1546F"/>
    <w:rsid w:val="00D17573"/>
    <w:rsid w:val="00D3057E"/>
    <w:rsid w:val="00D309CC"/>
    <w:rsid w:val="00D41667"/>
    <w:rsid w:val="00D42AC7"/>
    <w:rsid w:val="00D46431"/>
    <w:rsid w:val="00D55AC7"/>
    <w:rsid w:val="00D56A52"/>
    <w:rsid w:val="00D57972"/>
    <w:rsid w:val="00D673CA"/>
    <w:rsid w:val="00D675A9"/>
    <w:rsid w:val="00D67845"/>
    <w:rsid w:val="00D71BD1"/>
    <w:rsid w:val="00D733D5"/>
    <w:rsid w:val="00D738D6"/>
    <w:rsid w:val="00D755EB"/>
    <w:rsid w:val="00D77439"/>
    <w:rsid w:val="00D820C4"/>
    <w:rsid w:val="00D82C13"/>
    <w:rsid w:val="00D83477"/>
    <w:rsid w:val="00D836CB"/>
    <w:rsid w:val="00D857BA"/>
    <w:rsid w:val="00D8640F"/>
    <w:rsid w:val="00D866D7"/>
    <w:rsid w:val="00D87497"/>
    <w:rsid w:val="00D87788"/>
    <w:rsid w:val="00D877CA"/>
    <w:rsid w:val="00D87E00"/>
    <w:rsid w:val="00D9134D"/>
    <w:rsid w:val="00D970EA"/>
    <w:rsid w:val="00D97FCF"/>
    <w:rsid w:val="00DA27C2"/>
    <w:rsid w:val="00DA60EC"/>
    <w:rsid w:val="00DA65F1"/>
    <w:rsid w:val="00DA7A03"/>
    <w:rsid w:val="00DB0281"/>
    <w:rsid w:val="00DB1818"/>
    <w:rsid w:val="00DB5EF6"/>
    <w:rsid w:val="00DC309B"/>
    <w:rsid w:val="00DC4DA2"/>
    <w:rsid w:val="00DC7727"/>
    <w:rsid w:val="00DD03DF"/>
    <w:rsid w:val="00DD18AC"/>
    <w:rsid w:val="00DD27CF"/>
    <w:rsid w:val="00DD4C17"/>
    <w:rsid w:val="00DD7EA0"/>
    <w:rsid w:val="00DE676A"/>
    <w:rsid w:val="00DF2B1F"/>
    <w:rsid w:val="00DF6189"/>
    <w:rsid w:val="00DF62CD"/>
    <w:rsid w:val="00E00755"/>
    <w:rsid w:val="00E02E2B"/>
    <w:rsid w:val="00E068AE"/>
    <w:rsid w:val="00E07D2B"/>
    <w:rsid w:val="00E100E0"/>
    <w:rsid w:val="00E10A8C"/>
    <w:rsid w:val="00E11F1D"/>
    <w:rsid w:val="00E144A6"/>
    <w:rsid w:val="00E1558D"/>
    <w:rsid w:val="00E16486"/>
    <w:rsid w:val="00E16509"/>
    <w:rsid w:val="00E169E4"/>
    <w:rsid w:val="00E22E04"/>
    <w:rsid w:val="00E40560"/>
    <w:rsid w:val="00E41341"/>
    <w:rsid w:val="00E44582"/>
    <w:rsid w:val="00E45E4A"/>
    <w:rsid w:val="00E45EDF"/>
    <w:rsid w:val="00E52814"/>
    <w:rsid w:val="00E55151"/>
    <w:rsid w:val="00E670FF"/>
    <w:rsid w:val="00E672F3"/>
    <w:rsid w:val="00E67C3E"/>
    <w:rsid w:val="00E72324"/>
    <w:rsid w:val="00E723B3"/>
    <w:rsid w:val="00E729F0"/>
    <w:rsid w:val="00E72ABE"/>
    <w:rsid w:val="00E75C6A"/>
    <w:rsid w:val="00E77645"/>
    <w:rsid w:val="00E81945"/>
    <w:rsid w:val="00E834B8"/>
    <w:rsid w:val="00E84530"/>
    <w:rsid w:val="00E85A25"/>
    <w:rsid w:val="00E87309"/>
    <w:rsid w:val="00E87A96"/>
    <w:rsid w:val="00E90EC1"/>
    <w:rsid w:val="00E95657"/>
    <w:rsid w:val="00EA59EF"/>
    <w:rsid w:val="00EA6EB0"/>
    <w:rsid w:val="00EB22F4"/>
    <w:rsid w:val="00EB233F"/>
    <w:rsid w:val="00EC3517"/>
    <w:rsid w:val="00EC454E"/>
    <w:rsid w:val="00EC4A25"/>
    <w:rsid w:val="00ED2E9E"/>
    <w:rsid w:val="00EE0D55"/>
    <w:rsid w:val="00EE2719"/>
    <w:rsid w:val="00EE4AD0"/>
    <w:rsid w:val="00EE57BC"/>
    <w:rsid w:val="00EE5AA7"/>
    <w:rsid w:val="00EF433E"/>
    <w:rsid w:val="00EF4B21"/>
    <w:rsid w:val="00EF718A"/>
    <w:rsid w:val="00F025A2"/>
    <w:rsid w:val="00F027A2"/>
    <w:rsid w:val="00F0286F"/>
    <w:rsid w:val="00F03D8B"/>
    <w:rsid w:val="00F04712"/>
    <w:rsid w:val="00F0567B"/>
    <w:rsid w:val="00F064C8"/>
    <w:rsid w:val="00F07B00"/>
    <w:rsid w:val="00F1639A"/>
    <w:rsid w:val="00F20665"/>
    <w:rsid w:val="00F20DA5"/>
    <w:rsid w:val="00F21311"/>
    <w:rsid w:val="00F21696"/>
    <w:rsid w:val="00F22EC7"/>
    <w:rsid w:val="00F2340C"/>
    <w:rsid w:val="00F3025B"/>
    <w:rsid w:val="00F31878"/>
    <w:rsid w:val="00F31A38"/>
    <w:rsid w:val="00F325C8"/>
    <w:rsid w:val="00F3263B"/>
    <w:rsid w:val="00F33616"/>
    <w:rsid w:val="00F35F4C"/>
    <w:rsid w:val="00F36DC7"/>
    <w:rsid w:val="00F40BE4"/>
    <w:rsid w:val="00F41289"/>
    <w:rsid w:val="00F417A1"/>
    <w:rsid w:val="00F614F2"/>
    <w:rsid w:val="00F61745"/>
    <w:rsid w:val="00F62112"/>
    <w:rsid w:val="00F62AEB"/>
    <w:rsid w:val="00F63709"/>
    <w:rsid w:val="00F63841"/>
    <w:rsid w:val="00F64097"/>
    <w:rsid w:val="00F64730"/>
    <w:rsid w:val="00F653B8"/>
    <w:rsid w:val="00F70647"/>
    <w:rsid w:val="00F71571"/>
    <w:rsid w:val="00F74935"/>
    <w:rsid w:val="00F75917"/>
    <w:rsid w:val="00F8253B"/>
    <w:rsid w:val="00FA1266"/>
    <w:rsid w:val="00FA2910"/>
    <w:rsid w:val="00FA65D0"/>
    <w:rsid w:val="00FB56EC"/>
    <w:rsid w:val="00FC1192"/>
    <w:rsid w:val="00FC3923"/>
    <w:rsid w:val="00FC41AB"/>
    <w:rsid w:val="00FC671A"/>
    <w:rsid w:val="00FD1E6E"/>
    <w:rsid w:val="00FD28D0"/>
    <w:rsid w:val="00FD2E2F"/>
    <w:rsid w:val="00FD2F5C"/>
    <w:rsid w:val="00FD3696"/>
    <w:rsid w:val="00FE092E"/>
    <w:rsid w:val="00FE2A7F"/>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756363984">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2058115">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248</TotalTime>
  <Pages>3</Pages>
  <Words>1014</Words>
  <Characters>5783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6784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76</cp:revision>
  <cp:lastPrinted>2019-02-25T14:05:00Z</cp:lastPrinted>
  <dcterms:created xsi:type="dcterms:W3CDTF">2022-11-07T08:04:00Z</dcterms:created>
  <dcterms:modified xsi:type="dcterms:W3CDTF">2023-05-15T20:04:00Z</dcterms:modified>
  <cp:category/>
</cp:coreProperties>
</file>